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1F" w:rsidRDefault="0088221F">
      <w:pPr>
        <w:jc w:val="center"/>
        <w:rPr>
          <w:rFonts w:ascii="Times New Roman" w:eastAsia="方正小标宋简体" w:hAnsi="Times New Roman"/>
          <w:color w:val="FF0000"/>
          <w:w w:val="27"/>
          <w:sz w:val="32"/>
          <w:szCs w:val="32"/>
        </w:rPr>
      </w:pPr>
      <w:bookmarkStart w:id="0" w:name="_GoBack"/>
      <w:bookmarkEnd w:id="0"/>
    </w:p>
    <w:p w:rsidR="0088221F" w:rsidRDefault="0088221F">
      <w:pPr>
        <w:jc w:val="center"/>
        <w:rPr>
          <w:rFonts w:ascii="Times New Roman" w:eastAsia="方正小标宋简体" w:hAnsi="Times New Roman"/>
          <w:color w:val="FF0000"/>
          <w:w w:val="27"/>
          <w:szCs w:val="21"/>
        </w:rPr>
      </w:pPr>
    </w:p>
    <w:p w:rsidR="0088221F" w:rsidRDefault="0088221F">
      <w:pPr>
        <w:jc w:val="center"/>
        <w:rPr>
          <w:rFonts w:ascii="Times New Roman" w:eastAsia="方正小标宋简体" w:hAnsi="Times New Roman"/>
          <w:color w:val="FF0000"/>
          <w:w w:val="27"/>
          <w:szCs w:val="21"/>
        </w:rPr>
      </w:pPr>
    </w:p>
    <w:p w:rsidR="0088221F" w:rsidRDefault="0088221F">
      <w:pPr>
        <w:jc w:val="center"/>
        <w:rPr>
          <w:rFonts w:ascii="Times New Roman" w:eastAsia="方正小标宋简体" w:hAnsi="Times New Roman"/>
          <w:color w:val="FF0000"/>
          <w:w w:val="27"/>
          <w:szCs w:val="21"/>
        </w:rPr>
      </w:pPr>
    </w:p>
    <w:p w:rsidR="0088221F" w:rsidRDefault="0088221F">
      <w:pPr>
        <w:jc w:val="center"/>
        <w:rPr>
          <w:rFonts w:ascii="Times New Roman" w:eastAsia="方正小标宋简体" w:hAnsi="Times New Roman"/>
          <w:color w:val="FF0000"/>
          <w:w w:val="27"/>
          <w:szCs w:val="21"/>
        </w:rPr>
      </w:pPr>
    </w:p>
    <w:p w:rsidR="0088221F" w:rsidRDefault="00EE1A42">
      <w:pPr>
        <w:rPr>
          <w:rFonts w:ascii="Times New Roman" w:eastAsia="方正小标宋简体" w:hAnsi="Times New Roman"/>
          <w:color w:val="FF0000"/>
          <w:w w:val="50"/>
          <w:sz w:val="110"/>
          <w:szCs w:val="110"/>
        </w:rPr>
      </w:pPr>
      <w:r>
        <w:rPr>
          <w:rFonts w:ascii="Times New Roman" w:eastAsia="方正小标宋简体" w:hAnsi="Times New Roman"/>
          <w:color w:val="FF0000"/>
          <w:w w:val="27"/>
          <w:sz w:val="110"/>
          <w:szCs w:val="110"/>
        </w:rPr>
        <w:t>天津市</w:t>
      </w:r>
      <w:r>
        <w:rPr>
          <w:rFonts w:ascii="Times New Roman" w:eastAsia="方正小标宋简体" w:hAnsi="Times New Roman" w:hint="eastAsia"/>
          <w:color w:val="FF0000"/>
          <w:w w:val="27"/>
          <w:sz w:val="110"/>
          <w:szCs w:val="110"/>
        </w:rPr>
        <w:t>人民政府</w:t>
      </w:r>
      <w:r>
        <w:rPr>
          <w:rFonts w:ascii="Times New Roman" w:eastAsia="方正小标宋简体" w:hAnsi="Times New Roman"/>
          <w:color w:val="FF0000"/>
          <w:w w:val="27"/>
          <w:sz w:val="110"/>
          <w:szCs w:val="110"/>
        </w:rPr>
        <w:t>推进政府职能转变和</w:t>
      </w:r>
      <w:r>
        <w:rPr>
          <w:rFonts w:ascii="Times New Roman" w:eastAsia="方正小标宋简体" w:hAnsi="Times New Roman"/>
          <w:color w:val="FF0000"/>
          <w:w w:val="27"/>
          <w:sz w:val="110"/>
          <w:szCs w:val="110"/>
        </w:rPr>
        <w:t>“</w:t>
      </w:r>
      <w:r>
        <w:rPr>
          <w:rFonts w:ascii="Times New Roman" w:eastAsia="方正小标宋简体" w:hAnsi="Times New Roman"/>
          <w:color w:val="FF0000"/>
          <w:w w:val="27"/>
          <w:sz w:val="110"/>
          <w:szCs w:val="110"/>
        </w:rPr>
        <w:t>放管服</w:t>
      </w:r>
      <w:r>
        <w:rPr>
          <w:rFonts w:ascii="Times New Roman" w:eastAsia="方正小标宋简体" w:hAnsi="Times New Roman"/>
          <w:color w:val="FF0000"/>
          <w:w w:val="27"/>
          <w:sz w:val="110"/>
          <w:szCs w:val="110"/>
        </w:rPr>
        <w:t>”</w:t>
      </w:r>
      <w:r>
        <w:rPr>
          <w:rFonts w:ascii="Times New Roman" w:eastAsia="方正小标宋简体" w:hAnsi="Times New Roman" w:hint="eastAsia"/>
          <w:color w:val="FF0000"/>
          <w:w w:val="27"/>
          <w:sz w:val="110"/>
          <w:szCs w:val="110"/>
        </w:rPr>
        <w:t>改革</w:t>
      </w:r>
      <w:r>
        <w:rPr>
          <w:rFonts w:ascii="Times New Roman" w:eastAsia="方正小标宋简体" w:hAnsi="Times New Roman"/>
          <w:color w:val="FF0000"/>
          <w:w w:val="27"/>
          <w:sz w:val="110"/>
          <w:szCs w:val="110"/>
        </w:rPr>
        <w:t>协调小组办公室</w:t>
      </w:r>
    </w:p>
    <w:p w:rsidR="0088221F" w:rsidRDefault="00EE1A42">
      <w:pPr>
        <w:rPr>
          <w:rFonts w:ascii="Times New Roman" w:eastAsia="仿宋_GB2312" w:hAnsi="Times New Roman"/>
          <w:sz w:val="32"/>
          <w:szCs w:val="32"/>
        </w:rPr>
      </w:pPr>
      <w:r>
        <w:rPr>
          <w:rFonts w:ascii="Times New Roman" w:hAnsi="Times New Roman"/>
          <w:noProof/>
          <w:color w:val="FFFFFF" w:themeColor="background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990600</wp:posOffset>
                </wp:positionV>
                <wp:extent cx="5600700" cy="0"/>
                <wp:effectExtent l="0" t="12700" r="0" b="1587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o1sritMAAAAIAQAADwAAAAAA&#10;AAABACAAAAA4AAAAZHJzL2Rvd25yZXYueG1sUEsBAhQAFAAAAAgAh07iQKLYBpfJAQAAXQMAAA4A&#10;AAAAAAAAAQAgAAAAOAEAAGRycy9lMm9Eb2MueG1sUEsFBgAAAAAGAAYAWQEAAHMFAAAAAA==&#10;">
                <v:fill on="f" focussize="0,0"/>
                <v:stroke weight="2pt" color="#FF0000" joinstyle="round"/>
                <v:imagedata o:title=""/>
                <o:lock v:ext="edit" aspectratio="f"/>
              </v:line>
            </w:pict>
          </mc:Fallback>
        </mc:AlternateContent>
      </w:r>
    </w:p>
    <w:p w:rsidR="0088221F" w:rsidRDefault="0088221F">
      <w:pPr>
        <w:rPr>
          <w:rFonts w:ascii="Times New Roman" w:hAnsi="Times New Roman"/>
        </w:rPr>
      </w:pPr>
    </w:p>
    <w:p w:rsidR="0088221F" w:rsidRDefault="00EE1A42">
      <w:pPr>
        <w:tabs>
          <w:tab w:val="left" w:pos="8400"/>
          <w:tab w:val="left" w:pos="8505"/>
        </w:tabs>
        <w:jc w:val="center"/>
        <w:rPr>
          <w:rFonts w:ascii="Times New Roman" w:eastAsia="仿宋_GB2312" w:hAnsi="Times New Roman"/>
          <w:sz w:val="32"/>
          <w:szCs w:val="32"/>
        </w:rPr>
      </w:pPr>
      <w:proofErr w:type="gramStart"/>
      <w:r>
        <w:rPr>
          <w:rFonts w:ascii="Times New Roman" w:eastAsia="仿宋_GB2312" w:hAnsi="Times New Roman"/>
          <w:sz w:val="32"/>
          <w:szCs w:val="32"/>
        </w:rPr>
        <w:t>津职转办</w:t>
      </w:r>
      <w:proofErr w:type="gramEnd"/>
      <w:r>
        <w:rPr>
          <w:rFonts w:ascii="Times New Roman" w:eastAsia="仿宋_GB2312" w:hAnsi="Times New Roman"/>
          <w:sz w:val="32"/>
          <w:szCs w:val="32"/>
        </w:rPr>
        <w:t>发〔</w:t>
      </w:r>
      <w:r>
        <w:rPr>
          <w:rFonts w:ascii="Times New Roman" w:eastAsia="仿宋_GB2312" w:hAnsi="Times New Roman"/>
          <w:sz w:val="32"/>
          <w:szCs w:val="32"/>
        </w:rPr>
        <w:t>2021</w:t>
      </w:r>
      <w:r>
        <w:rPr>
          <w:rFonts w:ascii="Times New Roman" w:eastAsia="仿宋_GB2312" w:hAnsi="Times New Roman"/>
          <w:sz w:val="32"/>
          <w:szCs w:val="32"/>
        </w:rPr>
        <w:t>〕</w:t>
      </w:r>
      <w:r w:rsidR="00265C8C">
        <w:rPr>
          <w:rFonts w:ascii="Times New Roman" w:eastAsia="仿宋_GB2312" w:hAnsi="Times New Roman" w:hint="eastAsia"/>
          <w:sz w:val="32"/>
          <w:szCs w:val="32"/>
        </w:rPr>
        <w:t>14</w:t>
      </w:r>
      <w:r>
        <w:rPr>
          <w:rFonts w:ascii="Times New Roman" w:eastAsia="仿宋_GB2312" w:hAnsi="Times New Roman"/>
          <w:sz w:val="32"/>
          <w:szCs w:val="32"/>
        </w:rPr>
        <w:t>号</w:t>
      </w:r>
    </w:p>
    <w:p w:rsidR="0088221F" w:rsidRDefault="0088221F">
      <w:pPr>
        <w:spacing w:line="579" w:lineRule="exact"/>
        <w:rPr>
          <w:rFonts w:ascii="Times New Roman" w:eastAsia="方正小标宋简体" w:hAnsi="Times New Roman"/>
          <w:bCs/>
          <w:sz w:val="44"/>
          <w:szCs w:val="44"/>
        </w:rPr>
      </w:pPr>
    </w:p>
    <w:p w:rsidR="0088221F" w:rsidRDefault="00EE1A42">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关于公布我市取消和保留的行政许可</w:t>
      </w:r>
    </w:p>
    <w:p w:rsidR="0088221F" w:rsidRDefault="00EE1A42">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中介要件目录的通知</w:t>
      </w:r>
    </w:p>
    <w:p w:rsidR="0088221F" w:rsidRDefault="0088221F">
      <w:pPr>
        <w:spacing w:line="600" w:lineRule="exact"/>
        <w:jc w:val="center"/>
        <w:rPr>
          <w:rFonts w:ascii="Times New Roman" w:eastAsia="仿宋_GB2312" w:hAnsi="Times New Roman"/>
          <w:sz w:val="44"/>
          <w:szCs w:val="44"/>
        </w:rPr>
      </w:pPr>
    </w:p>
    <w:p w:rsidR="0088221F" w:rsidRDefault="00EE1A42">
      <w:pPr>
        <w:tabs>
          <w:tab w:val="left" w:pos="8280"/>
        </w:tabs>
        <w:spacing w:line="600" w:lineRule="exact"/>
        <w:rPr>
          <w:rFonts w:ascii="Times New Roman" w:eastAsia="仿宋_GB2312" w:hAnsi="Times New Roman"/>
          <w:sz w:val="32"/>
          <w:szCs w:val="32"/>
        </w:rPr>
      </w:pPr>
      <w:r>
        <w:rPr>
          <w:rFonts w:ascii="Times New Roman" w:eastAsia="仿宋_GB2312" w:hAnsi="Times New Roman"/>
          <w:sz w:val="32"/>
          <w:szCs w:val="32"/>
        </w:rPr>
        <w:t>市级有关部门，各区政务服务办：</w:t>
      </w:r>
    </w:p>
    <w:p w:rsidR="0088221F" w:rsidRDefault="00EE1A4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现将《天津市行政许可中介要件目录（</w:t>
      </w:r>
      <w:r>
        <w:rPr>
          <w:rFonts w:ascii="Times New Roman" w:eastAsia="仿宋_GB2312" w:hAnsi="Times New Roman"/>
          <w:sz w:val="32"/>
          <w:szCs w:val="32"/>
        </w:rPr>
        <w:t>2021</w:t>
      </w:r>
      <w:r>
        <w:rPr>
          <w:rFonts w:ascii="Times New Roman" w:eastAsia="仿宋_GB2312" w:hAnsi="Times New Roman"/>
          <w:sz w:val="32"/>
          <w:szCs w:val="32"/>
        </w:rPr>
        <w:t>年版）》和《取消的行政许可中介要件目录》印发给你们，请遵照执行。</w:t>
      </w:r>
    </w:p>
    <w:p w:rsidR="0088221F" w:rsidRDefault="00EE1A4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行政许可中介机构各行业主管部门要不断完善中介机构服务规范和标准，规范中介机构服务行为</w:t>
      </w:r>
      <w:r>
        <w:rPr>
          <w:rFonts w:ascii="仿宋_GB2312" w:eastAsia="仿宋_GB2312" w:hAnsi="仿宋_GB2312" w:cs="仿宋_GB2312" w:hint="eastAsia"/>
          <w:sz w:val="32"/>
          <w:szCs w:val="32"/>
        </w:rPr>
        <w:t>，推行中介机构“零门槛、零限制”入驻网上中介超市，为申请人提供一站</w:t>
      </w:r>
      <w:proofErr w:type="gramStart"/>
      <w:r>
        <w:rPr>
          <w:rFonts w:ascii="仿宋_GB2312" w:eastAsia="仿宋_GB2312" w:hAnsi="仿宋_GB2312" w:cs="仿宋_GB2312" w:hint="eastAsia"/>
          <w:sz w:val="32"/>
          <w:szCs w:val="32"/>
        </w:rPr>
        <w:t>式行政</w:t>
      </w:r>
      <w:proofErr w:type="gramEnd"/>
      <w:r>
        <w:rPr>
          <w:rFonts w:ascii="仿宋_GB2312" w:eastAsia="仿宋_GB2312" w:hAnsi="仿宋_GB2312" w:cs="仿宋_GB2312" w:hint="eastAsia"/>
          <w:sz w:val="32"/>
          <w:szCs w:val="32"/>
        </w:rPr>
        <w:t>许可中介服务。</w:t>
      </w:r>
      <w:r>
        <w:rPr>
          <w:rFonts w:ascii="Times New Roman" w:eastAsia="仿宋_GB2312" w:hAnsi="Times New Roman"/>
          <w:sz w:val="32"/>
          <w:szCs w:val="32"/>
        </w:rPr>
        <w:t>对已取消的行政许可中介要件，一律不得再要求申请人提交。</w:t>
      </w:r>
    </w:p>
    <w:p w:rsidR="0088221F" w:rsidRDefault="0088221F">
      <w:pPr>
        <w:spacing w:line="600" w:lineRule="exact"/>
        <w:ind w:firstLineChars="200" w:firstLine="640"/>
        <w:jc w:val="left"/>
        <w:rPr>
          <w:rFonts w:ascii="Times New Roman" w:eastAsia="仿宋_GB2312" w:hAnsi="Times New Roman"/>
          <w:sz w:val="32"/>
          <w:szCs w:val="32"/>
        </w:rPr>
      </w:pPr>
    </w:p>
    <w:p w:rsidR="0088221F" w:rsidRDefault="00EE1A42">
      <w:pPr>
        <w:spacing w:line="600" w:lineRule="exact"/>
        <w:ind w:leftChars="50" w:left="105"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天津市行政许可中介要件目录（</w:t>
      </w:r>
      <w:r>
        <w:rPr>
          <w:rFonts w:ascii="Times New Roman" w:eastAsia="仿宋_GB2312" w:hAnsi="Times New Roman"/>
          <w:sz w:val="32"/>
          <w:szCs w:val="32"/>
        </w:rPr>
        <w:t>2021</w:t>
      </w:r>
      <w:r>
        <w:rPr>
          <w:rFonts w:ascii="Times New Roman" w:eastAsia="仿宋_GB2312" w:hAnsi="Times New Roman"/>
          <w:sz w:val="32"/>
          <w:szCs w:val="32"/>
        </w:rPr>
        <w:t>年版）</w:t>
      </w:r>
    </w:p>
    <w:p w:rsidR="0088221F" w:rsidRDefault="00EE1A42">
      <w:pPr>
        <w:spacing w:line="600" w:lineRule="exact"/>
        <w:ind w:firstLineChars="550" w:firstLine="176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取消的行政许可中介要件目录</w:t>
      </w:r>
    </w:p>
    <w:p w:rsidR="0088221F" w:rsidRDefault="0088221F">
      <w:pPr>
        <w:spacing w:line="600" w:lineRule="exact"/>
        <w:jc w:val="left"/>
        <w:rPr>
          <w:rFonts w:ascii="Times New Roman" w:eastAsia="仿宋_GB2312" w:hAnsi="Times New Roman"/>
          <w:sz w:val="32"/>
          <w:szCs w:val="32"/>
        </w:rPr>
      </w:pPr>
    </w:p>
    <w:p w:rsidR="0088221F" w:rsidRDefault="0088221F">
      <w:pPr>
        <w:spacing w:line="600" w:lineRule="exact"/>
        <w:ind w:right="695"/>
        <w:rPr>
          <w:rFonts w:ascii="Times New Roman" w:eastAsia="仿宋_GB2312" w:hAnsi="Times New Roman"/>
          <w:sz w:val="32"/>
          <w:szCs w:val="32"/>
        </w:rPr>
      </w:pPr>
    </w:p>
    <w:p w:rsidR="0088221F" w:rsidRDefault="0088221F">
      <w:pPr>
        <w:spacing w:line="600" w:lineRule="exact"/>
        <w:ind w:right="695"/>
        <w:rPr>
          <w:rFonts w:ascii="Times New Roman" w:eastAsia="仿宋_GB2312" w:hAnsi="Times New Roman"/>
          <w:sz w:val="32"/>
          <w:szCs w:val="32"/>
        </w:rPr>
      </w:pPr>
    </w:p>
    <w:p w:rsidR="0088221F" w:rsidRDefault="00EE1A42">
      <w:pPr>
        <w:spacing w:line="600" w:lineRule="exact"/>
        <w:ind w:right="695" w:firstLineChars="1600" w:firstLine="5120"/>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 w:hAnsi="Times New Roman"/>
          <w:sz w:val="32"/>
          <w:szCs w:val="32"/>
        </w:rPr>
        <w:t>年</w:t>
      </w:r>
      <w:r>
        <w:rPr>
          <w:rFonts w:ascii="Times New Roman" w:eastAsia="仿宋_GB2312" w:hAnsi="Times New Roman" w:hint="eastAsia"/>
          <w:sz w:val="32"/>
          <w:szCs w:val="32"/>
        </w:rPr>
        <w:t>8</w:t>
      </w:r>
      <w:r>
        <w:rPr>
          <w:rFonts w:ascii="Times New Roman" w:eastAsia="仿宋" w:hAnsi="Times New Roman"/>
          <w:sz w:val="32"/>
          <w:szCs w:val="32"/>
        </w:rPr>
        <w:t>月</w:t>
      </w:r>
      <w:r w:rsidR="00265C8C">
        <w:rPr>
          <w:rFonts w:ascii="Times New Roman" w:eastAsia="仿宋_GB2312" w:hAnsi="Times New Roman" w:hint="eastAsia"/>
          <w:sz w:val="32"/>
          <w:szCs w:val="32"/>
        </w:rPr>
        <w:t>19</w:t>
      </w:r>
      <w:r>
        <w:rPr>
          <w:rFonts w:ascii="Times New Roman" w:eastAsia="仿宋_GB2312" w:hAnsi="Times New Roman"/>
          <w:sz w:val="32"/>
          <w:szCs w:val="32"/>
        </w:rPr>
        <w:t>日</w:t>
      </w:r>
    </w:p>
    <w:p w:rsidR="0088221F" w:rsidRDefault="00EE1A42">
      <w:pPr>
        <w:snapToGrid w:val="0"/>
        <w:spacing w:line="600" w:lineRule="exact"/>
        <w:ind w:firstLineChars="200" w:firstLine="664"/>
        <w:rPr>
          <w:rFonts w:ascii="Times New Roman" w:eastAsia="仿宋_GB2312" w:hAnsi="Times New Roman"/>
          <w:spacing w:val="6"/>
          <w:sz w:val="32"/>
          <w:szCs w:val="32"/>
        </w:rPr>
      </w:pPr>
      <w:r>
        <w:rPr>
          <w:rFonts w:ascii="Times New Roman" w:eastAsia="仿宋_GB2312" w:hAnsi="Times New Roman"/>
          <w:spacing w:val="6"/>
          <w:sz w:val="32"/>
          <w:szCs w:val="32"/>
        </w:rPr>
        <w:t>（此件主动公开）</w:t>
      </w:r>
    </w:p>
    <w:p w:rsidR="0088221F" w:rsidRDefault="0088221F">
      <w:pPr>
        <w:widowControl/>
        <w:jc w:val="left"/>
        <w:rPr>
          <w:rFonts w:ascii="Times New Roman" w:eastAsia="仿宋_GB2312" w:hAnsi="Times New Roman"/>
          <w:sz w:val="32"/>
          <w:szCs w:val="32"/>
        </w:rPr>
        <w:sectPr w:rsidR="0088221F">
          <w:footerReference w:type="even" r:id="rId8"/>
          <w:footerReference w:type="default" r:id="rId9"/>
          <w:pgSz w:w="11906" w:h="16838"/>
          <w:pgMar w:top="2098" w:right="1474" w:bottom="1985" w:left="1588" w:header="851" w:footer="992" w:gutter="0"/>
          <w:cols w:space="720"/>
          <w:docGrid w:type="lines" w:linePitch="312"/>
        </w:sectPr>
      </w:pPr>
    </w:p>
    <w:p w:rsidR="0088221F" w:rsidRDefault="00EE1A42">
      <w:pPr>
        <w:widowControl/>
        <w:jc w:val="left"/>
        <w:rPr>
          <w:rFonts w:ascii="Times New Roman" w:eastAsia="黑体" w:hAnsi="Times New Roman"/>
          <w:sz w:val="32"/>
          <w:szCs w:val="32"/>
        </w:rPr>
      </w:pPr>
      <w:r>
        <w:rPr>
          <w:rFonts w:ascii="Times New Roman" w:eastAsia="黑体" w:hAnsi="Times New Roman"/>
          <w:color w:val="000000"/>
          <w:kern w:val="0"/>
          <w:sz w:val="32"/>
          <w:szCs w:val="32"/>
          <w:lang w:bidi="ar"/>
        </w:rPr>
        <w:lastRenderedPageBreak/>
        <w:t>附件</w:t>
      </w:r>
      <w:r>
        <w:rPr>
          <w:rFonts w:ascii="Times New Roman" w:eastAsia="黑体" w:hAnsi="Times New Roman"/>
          <w:color w:val="000000"/>
          <w:kern w:val="0"/>
          <w:sz w:val="32"/>
          <w:szCs w:val="32"/>
          <w:lang w:bidi="ar"/>
        </w:rPr>
        <w:t>1</w:t>
      </w:r>
    </w:p>
    <w:tbl>
      <w:tblPr>
        <w:tblW w:w="5000" w:type="pct"/>
        <w:tblLook w:val="04A0" w:firstRow="1" w:lastRow="0" w:firstColumn="1" w:lastColumn="0" w:noHBand="0" w:noVBand="1"/>
      </w:tblPr>
      <w:tblGrid>
        <w:gridCol w:w="12971"/>
      </w:tblGrid>
      <w:tr w:rsidR="0088221F">
        <w:trPr>
          <w:trHeight w:val="797"/>
        </w:trPr>
        <w:tc>
          <w:tcPr>
            <w:tcW w:w="5000" w:type="pct"/>
            <w:vAlign w:val="center"/>
          </w:tcPr>
          <w:p w:rsidR="0088221F" w:rsidRDefault="00EE1A42">
            <w:pPr>
              <w:widowControl/>
              <w:jc w:val="center"/>
              <w:rPr>
                <w:rFonts w:ascii="方正小标宋简体" w:eastAsia="方正小标宋简体" w:hAnsi="Times New Roman"/>
                <w:color w:val="000000"/>
                <w:kern w:val="0"/>
                <w:sz w:val="44"/>
                <w:szCs w:val="44"/>
              </w:rPr>
            </w:pPr>
            <w:r>
              <w:rPr>
                <w:rFonts w:ascii="方正小标宋简体" w:eastAsia="方正小标宋简体" w:hAnsi="Times New Roman" w:hint="eastAsia"/>
                <w:color w:val="000000"/>
                <w:kern w:val="0"/>
                <w:sz w:val="44"/>
                <w:szCs w:val="44"/>
              </w:rPr>
              <w:t>天津市行政许可中介要件目录（2021年版）</w:t>
            </w:r>
          </w:p>
        </w:tc>
      </w:tr>
    </w:tbl>
    <w:p w:rsidR="0088221F" w:rsidRDefault="0088221F">
      <w:pPr>
        <w:rPr>
          <w:rFonts w:ascii="Times New Roman" w:hAnsi="Times New Roman"/>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6"/>
        <w:gridCol w:w="1222"/>
        <w:gridCol w:w="729"/>
        <w:gridCol w:w="1333"/>
        <w:gridCol w:w="2428"/>
        <w:gridCol w:w="2140"/>
        <w:gridCol w:w="1383"/>
        <w:gridCol w:w="1331"/>
        <w:gridCol w:w="1959"/>
      </w:tblGrid>
      <w:tr w:rsidR="0088221F">
        <w:trPr>
          <w:trHeight w:val="919"/>
          <w:tblHeader/>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471"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市</w:t>
            </w:r>
            <w:r>
              <w:rPr>
                <w:rFonts w:ascii="Times New Roman" w:eastAsia="黑体" w:hAnsi="Times New Roman" w:hint="eastAsia"/>
                <w:color w:val="000000"/>
                <w:kern w:val="0"/>
                <w:sz w:val="20"/>
                <w:szCs w:val="20"/>
              </w:rPr>
              <w:t>级</w:t>
            </w:r>
            <w:r>
              <w:rPr>
                <w:rFonts w:ascii="Times New Roman" w:eastAsia="黑体" w:hAnsi="Times New Roman"/>
                <w:color w:val="000000"/>
                <w:kern w:val="0"/>
                <w:sz w:val="20"/>
                <w:szCs w:val="20"/>
              </w:rPr>
              <w:t>主管部门（含市级审批部门）</w:t>
            </w:r>
          </w:p>
        </w:tc>
        <w:tc>
          <w:tcPr>
            <w:tcW w:w="281"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区级审批部门</w:t>
            </w:r>
          </w:p>
        </w:tc>
        <w:tc>
          <w:tcPr>
            <w:tcW w:w="514"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行政许可</w:t>
            </w:r>
          </w:p>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事项名称</w:t>
            </w:r>
          </w:p>
        </w:tc>
        <w:tc>
          <w:tcPr>
            <w:tcW w:w="936"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子项名称</w:t>
            </w:r>
          </w:p>
        </w:tc>
        <w:tc>
          <w:tcPr>
            <w:tcW w:w="82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中介要件名称</w:t>
            </w:r>
          </w:p>
        </w:tc>
        <w:tc>
          <w:tcPr>
            <w:tcW w:w="53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中介机构</w:t>
            </w:r>
          </w:p>
        </w:tc>
        <w:tc>
          <w:tcPr>
            <w:tcW w:w="51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中介机构行业主管部门</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设定依据</w:t>
            </w:r>
          </w:p>
        </w:tc>
      </w:tr>
      <w:tr w:rsidR="0088221F">
        <w:trPr>
          <w:trHeight w:val="978"/>
        </w:trPr>
        <w:tc>
          <w:tcPr>
            <w:tcW w:w="172"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区规划资源分局</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用地预审与选址意见书</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规划条件</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现势地形图（以出让方式供地项目应包括核定用地图）和电子文件</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553"/>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选址意见书（不涉及新增建设用地）</w:t>
            </w:r>
            <w:r>
              <w:rPr>
                <w:rFonts w:ascii="Times New Roman" w:eastAsia="仿宋_GB2312" w:hAnsi="Times New Roman" w:hint="eastAsia"/>
                <w:color w:val="000000"/>
                <w:kern w:val="0"/>
                <w:sz w:val="20"/>
                <w:szCs w:val="20"/>
              </w:rPr>
              <w:t xml:space="preserve"> </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现势地形（管网）图和电子文件</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1257"/>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规划方案（线性占地类、管线综合类以及长度大于</w:t>
            </w:r>
            <w:r>
              <w:rPr>
                <w:rFonts w:ascii="Times New Roman" w:eastAsia="仿宋_GB2312" w:hAnsi="Times New Roman"/>
                <w:color w:val="000000"/>
                <w:kern w:val="0"/>
                <w:sz w:val="20"/>
                <w:szCs w:val="20"/>
              </w:rPr>
              <w:t>2000</w:t>
            </w:r>
            <w:r>
              <w:rPr>
                <w:rFonts w:ascii="Times New Roman" w:eastAsia="仿宋_GB2312" w:hAnsi="Times New Roman"/>
                <w:color w:val="000000"/>
                <w:kern w:val="0"/>
                <w:sz w:val="20"/>
                <w:szCs w:val="20"/>
              </w:rPr>
              <w:t>米以上的非占地类项目需提供）</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具有规划资质机构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622"/>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用地预审与选址意见书（涉及新增建设用地）</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现势地形（管网）图和电子文件</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973"/>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建设项目需修改土地利用总体规划的，应当出具规划修改方案</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出具报告的技术机构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《建设项目用地预审管理办法》</w:t>
            </w:r>
          </w:p>
        </w:tc>
      </w:tr>
      <w:tr w:rsidR="0088221F">
        <w:trPr>
          <w:trHeight w:val="1292"/>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规划方案（线性占地类、管线综合类以及长度大于</w:t>
            </w:r>
            <w:r>
              <w:rPr>
                <w:rFonts w:ascii="Times New Roman" w:eastAsia="仿宋_GB2312" w:hAnsi="Times New Roman"/>
                <w:color w:val="000000"/>
                <w:kern w:val="0"/>
                <w:sz w:val="20"/>
                <w:szCs w:val="20"/>
              </w:rPr>
              <w:t>2000</w:t>
            </w:r>
            <w:r>
              <w:rPr>
                <w:rFonts w:ascii="Times New Roman" w:eastAsia="仿宋_GB2312" w:hAnsi="Times New Roman"/>
                <w:color w:val="000000"/>
                <w:kern w:val="0"/>
                <w:sz w:val="20"/>
                <w:szCs w:val="20"/>
              </w:rPr>
              <w:t>米以上的非占地类项目需提供）</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具有规划资质机构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1293"/>
        </w:trPr>
        <w:tc>
          <w:tcPr>
            <w:tcW w:w="172" w:type="pct"/>
            <w:vMerge w:val="restart"/>
            <w:tcBorders>
              <w:top w:val="single" w:sz="8" w:space="0" w:color="auto"/>
              <w:left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2</w:t>
            </w:r>
          </w:p>
        </w:tc>
        <w:tc>
          <w:tcPr>
            <w:tcW w:w="471"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281"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区规划资源分局</w:t>
            </w:r>
          </w:p>
        </w:tc>
        <w:tc>
          <w:tcPr>
            <w:tcW w:w="514"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建设工程规划验收合格证核发</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市政工程</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建设工程规划竣工测量技术报告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1253"/>
        </w:trPr>
        <w:tc>
          <w:tcPr>
            <w:tcW w:w="172" w:type="pct"/>
            <w:vMerge/>
            <w:tcBorders>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建筑工程</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建设工程规划竣工测量技术报告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1537"/>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3</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区规划资源分局</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建设工程规划许可证核发</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市政工程</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建设工程设计方案</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份（含电子文件）</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具有市政设计资质机构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《中华人民共和国城乡规划法》</w:t>
            </w: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970"/>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建筑工程</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建设工程设计方案</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份（含电子文件）</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具有建筑设计资质机构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市住房城乡建设委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《中华人民共和国城乡规划法》</w:t>
            </w: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1111"/>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建设工程规划放线测量技术报告</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份（含电子文件）</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1718"/>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4</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区规划资源分局</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乡村建设规划许可证核发</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村民住宅建设项目</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房屋设计方案</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份（含电子文件，平房村民住宅建设项目无需提供）</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具有建筑设计资质机构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市住房城乡建设委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《住房城乡建设部关于印发</w:t>
            </w:r>
            <w:r>
              <w:rPr>
                <w:rFonts w:ascii="Times New Roman" w:eastAsia="仿宋_GB2312" w:hAnsi="Times New Roman"/>
                <w:color w:val="000000"/>
                <w:kern w:val="0"/>
                <w:sz w:val="20"/>
                <w:szCs w:val="20"/>
              </w:rPr>
              <w:t>&lt;</w:t>
            </w:r>
            <w:r>
              <w:rPr>
                <w:rFonts w:ascii="Times New Roman" w:eastAsia="仿宋_GB2312" w:hAnsi="Times New Roman"/>
                <w:color w:val="000000"/>
                <w:kern w:val="0"/>
                <w:sz w:val="20"/>
                <w:szCs w:val="20"/>
              </w:rPr>
              <w:t>乡村建设规划许可实施意见</w:t>
            </w:r>
            <w:r>
              <w:rPr>
                <w:rFonts w:ascii="Times New Roman" w:eastAsia="仿宋_GB2312" w:hAnsi="Times New Roman"/>
                <w:color w:val="000000"/>
                <w:kern w:val="0"/>
                <w:sz w:val="20"/>
                <w:szCs w:val="20"/>
              </w:rPr>
              <w:t>&gt;</w:t>
            </w:r>
            <w:r>
              <w:rPr>
                <w:rFonts w:ascii="Times New Roman" w:eastAsia="仿宋_GB2312" w:hAnsi="Times New Roman"/>
                <w:color w:val="000000"/>
                <w:kern w:val="0"/>
                <w:sz w:val="20"/>
                <w:szCs w:val="20"/>
              </w:rPr>
              <w:t>的通知》</w:t>
            </w:r>
          </w:p>
        </w:tc>
      </w:tr>
      <w:tr w:rsidR="0088221F">
        <w:trPr>
          <w:trHeight w:val="1399"/>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乡镇企业、乡村公共设施和公益性事业建设</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建设项目用地范围地形图</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《住房城乡建设部关于印发</w:t>
            </w:r>
            <w:r>
              <w:rPr>
                <w:rFonts w:ascii="Times New Roman" w:eastAsia="仿宋_GB2312" w:hAnsi="Times New Roman"/>
                <w:color w:val="000000"/>
                <w:kern w:val="0"/>
                <w:sz w:val="20"/>
                <w:szCs w:val="20"/>
              </w:rPr>
              <w:t>&lt;</w:t>
            </w:r>
            <w:r>
              <w:rPr>
                <w:rFonts w:ascii="Times New Roman" w:eastAsia="仿宋_GB2312" w:hAnsi="Times New Roman"/>
                <w:color w:val="000000"/>
                <w:kern w:val="0"/>
                <w:sz w:val="20"/>
                <w:szCs w:val="20"/>
              </w:rPr>
              <w:t>乡村建设规划许可实施意见</w:t>
            </w:r>
            <w:r>
              <w:rPr>
                <w:rFonts w:ascii="Times New Roman" w:eastAsia="仿宋_GB2312" w:hAnsi="Times New Roman"/>
                <w:color w:val="000000"/>
                <w:kern w:val="0"/>
                <w:sz w:val="20"/>
                <w:szCs w:val="20"/>
              </w:rPr>
              <w:t>&gt;</w:t>
            </w:r>
            <w:r>
              <w:rPr>
                <w:rFonts w:ascii="Times New Roman" w:eastAsia="仿宋_GB2312" w:hAnsi="Times New Roman"/>
                <w:color w:val="000000"/>
                <w:kern w:val="0"/>
                <w:sz w:val="20"/>
                <w:szCs w:val="20"/>
              </w:rPr>
              <w:t>的通知》</w:t>
            </w:r>
          </w:p>
        </w:tc>
      </w:tr>
      <w:tr w:rsidR="0088221F">
        <w:trPr>
          <w:trHeight w:val="1718"/>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建设工程设计方案</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份（含电子文件）</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具有建筑设计资质机构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市住房城乡建设委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《住房城乡建设部关于印发</w:t>
            </w:r>
            <w:r>
              <w:rPr>
                <w:rFonts w:ascii="Times New Roman" w:eastAsia="仿宋_GB2312" w:hAnsi="Times New Roman"/>
                <w:color w:val="000000"/>
                <w:kern w:val="0"/>
                <w:sz w:val="20"/>
                <w:szCs w:val="20"/>
              </w:rPr>
              <w:t>&lt;</w:t>
            </w:r>
            <w:r>
              <w:rPr>
                <w:rFonts w:ascii="Times New Roman" w:eastAsia="仿宋_GB2312" w:hAnsi="Times New Roman"/>
                <w:color w:val="000000"/>
                <w:kern w:val="0"/>
                <w:sz w:val="20"/>
                <w:szCs w:val="20"/>
              </w:rPr>
              <w:t>乡村建设规划许可实施意见</w:t>
            </w:r>
            <w:r>
              <w:rPr>
                <w:rFonts w:ascii="Times New Roman" w:eastAsia="仿宋_GB2312" w:hAnsi="Times New Roman"/>
                <w:color w:val="000000"/>
                <w:kern w:val="0"/>
                <w:sz w:val="20"/>
                <w:szCs w:val="20"/>
              </w:rPr>
              <w:t>&gt;</w:t>
            </w:r>
            <w:r>
              <w:rPr>
                <w:rFonts w:ascii="Times New Roman" w:eastAsia="仿宋_GB2312" w:hAnsi="Times New Roman"/>
                <w:color w:val="000000"/>
                <w:kern w:val="0"/>
                <w:sz w:val="20"/>
                <w:szCs w:val="20"/>
              </w:rPr>
              <w:t>的通知》</w:t>
            </w:r>
          </w:p>
        </w:tc>
      </w:tr>
      <w:tr w:rsidR="0088221F">
        <w:trPr>
          <w:trHeight w:val="1118"/>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建设工程规划放线测量技术报告</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份（含电子文件）</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tc>
      </w:tr>
      <w:tr w:rsidR="0088221F">
        <w:trPr>
          <w:trHeight w:val="2108"/>
        </w:trPr>
        <w:tc>
          <w:tcPr>
            <w:tcW w:w="172"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5</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区规划资源分局</w:t>
            </w: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建设用地规划许可证核发</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划拨用地</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核定用地图</w:t>
            </w:r>
            <w:r>
              <w:rPr>
                <w:rFonts w:ascii="Times New Roman" w:eastAsia="仿宋_GB2312" w:hAnsi="Times New Roman"/>
                <w:color w:val="000000"/>
                <w:kern w:val="0"/>
                <w:sz w:val="20"/>
                <w:szCs w:val="20"/>
              </w:rPr>
              <w:t>2</w:t>
            </w:r>
            <w:r>
              <w:rPr>
                <w:rFonts w:ascii="Times New Roman" w:eastAsia="仿宋_GB2312" w:hAnsi="Times New Roman"/>
                <w:color w:val="000000"/>
                <w:kern w:val="0"/>
                <w:sz w:val="20"/>
                <w:szCs w:val="20"/>
              </w:rPr>
              <w:t>份（含</w:t>
            </w:r>
            <w:r>
              <w:rPr>
                <w:rFonts w:ascii="Times New Roman" w:eastAsia="仿宋_GB2312" w:hAnsi="Times New Roman"/>
                <w:color w:val="000000"/>
                <w:kern w:val="0"/>
                <w:sz w:val="20"/>
                <w:szCs w:val="20"/>
              </w:rPr>
              <w:t>SHP</w:t>
            </w:r>
            <w:r>
              <w:rPr>
                <w:rFonts w:ascii="Times New Roman" w:eastAsia="仿宋_GB2312" w:hAnsi="Times New Roman"/>
                <w:color w:val="000000"/>
                <w:kern w:val="0"/>
                <w:sz w:val="20"/>
                <w:szCs w:val="20"/>
              </w:rPr>
              <w:t>和</w:t>
            </w:r>
            <w:r>
              <w:rPr>
                <w:rFonts w:ascii="Times New Roman" w:eastAsia="仿宋_GB2312" w:hAnsi="Times New Roman"/>
                <w:color w:val="000000"/>
                <w:kern w:val="0"/>
                <w:sz w:val="20"/>
                <w:szCs w:val="20"/>
              </w:rPr>
              <w:t>DWG</w:t>
            </w:r>
            <w:r>
              <w:rPr>
                <w:rFonts w:ascii="Times New Roman" w:eastAsia="仿宋_GB2312" w:hAnsi="Times New Roman"/>
                <w:color w:val="000000"/>
                <w:kern w:val="0"/>
                <w:sz w:val="20"/>
                <w:szCs w:val="20"/>
              </w:rPr>
              <w:t>格式数据）、划拨宗地平面界限图</w:t>
            </w:r>
            <w:r>
              <w:rPr>
                <w:rFonts w:ascii="Times New Roman" w:eastAsia="仿宋_GB2312" w:hAnsi="Times New Roman"/>
                <w:color w:val="000000"/>
                <w:kern w:val="0"/>
                <w:sz w:val="20"/>
                <w:szCs w:val="20"/>
              </w:rPr>
              <w:t>5</w:t>
            </w:r>
            <w:r>
              <w:rPr>
                <w:rFonts w:ascii="Times New Roman" w:eastAsia="仿宋_GB2312" w:hAnsi="Times New Roman"/>
                <w:color w:val="000000"/>
                <w:kern w:val="0"/>
                <w:sz w:val="20"/>
                <w:szCs w:val="20"/>
              </w:rPr>
              <w:t>份（含</w:t>
            </w:r>
            <w:r>
              <w:rPr>
                <w:rFonts w:ascii="Times New Roman" w:eastAsia="仿宋_GB2312" w:hAnsi="Times New Roman"/>
                <w:color w:val="000000"/>
                <w:kern w:val="0"/>
                <w:sz w:val="20"/>
                <w:szCs w:val="20"/>
              </w:rPr>
              <w:t>2000</w:t>
            </w:r>
            <w:r>
              <w:rPr>
                <w:rFonts w:ascii="Times New Roman" w:eastAsia="仿宋_GB2312" w:hAnsi="Times New Roman"/>
                <w:color w:val="000000"/>
                <w:kern w:val="0"/>
                <w:sz w:val="20"/>
                <w:szCs w:val="20"/>
              </w:rPr>
              <w:t>坐标的</w:t>
            </w:r>
            <w:r>
              <w:rPr>
                <w:rFonts w:ascii="Times New Roman" w:eastAsia="仿宋_GB2312" w:hAnsi="Times New Roman"/>
                <w:color w:val="000000"/>
                <w:kern w:val="0"/>
                <w:sz w:val="20"/>
                <w:szCs w:val="20"/>
              </w:rPr>
              <w:t>SHP</w:t>
            </w:r>
            <w:r>
              <w:rPr>
                <w:rFonts w:ascii="Times New Roman" w:eastAsia="仿宋_GB2312" w:hAnsi="Times New Roman"/>
                <w:color w:val="000000"/>
                <w:kern w:val="0"/>
                <w:sz w:val="20"/>
                <w:szCs w:val="20"/>
              </w:rPr>
              <w:t>格式数据）</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具有测绘资质机构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市规划资源局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《天津市城乡规划条例》</w:t>
            </w: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《关于印发</w:t>
            </w:r>
            <w:r>
              <w:rPr>
                <w:rFonts w:ascii="Times New Roman" w:eastAsia="仿宋_GB2312" w:hAnsi="Times New Roman"/>
                <w:color w:val="000000"/>
                <w:kern w:val="0"/>
                <w:sz w:val="20"/>
                <w:szCs w:val="20"/>
              </w:rPr>
              <w:t>&lt;</w:t>
            </w:r>
            <w:r>
              <w:rPr>
                <w:rFonts w:ascii="Times New Roman" w:eastAsia="仿宋_GB2312" w:hAnsi="Times New Roman"/>
                <w:color w:val="000000"/>
                <w:kern w:val="0"/>
                <w:sz w:val="20"/>
                <w:szCs w:val="20"/>
              </w:rPr>
              <w:t>国有建设用地划拨决定书</w:t>
            </w:r>
            <w:r>
              <w:rPr>
                <w:rFonts w:ascii="Times New Roman" w:eastAsia="仿宋_GB2312" w:hAnsi="Times New Roman"/>
                <w:color w:val="000000"/>
                <w:kern w:val="0"/>
                <w:sz w:val="20"/>
                <w:szCs w:val="20"/>
              </w:rPr>
              <w:t>&gt;</w:t>
            </w:r>
            <w:r>
              <w:rPr>
                <w:rFonts w:ascii="Times New Roman" w:eastAsia="仿宋_GB2312" w:hAnsi="Times New Roman"/>
                <w:color w:val="000000"/>
                <w:kern w:val="0"/>
                <w:sz w:val="20"/>
                <w:szCs w:val="20"/>
              </w:rPr>
              <w:t>的通知》</w:t>
            </w:r>
          </w:p>
        </w:tc>
      </w:tr>
      <w:tr w:rsidR="0088221F">
        <w:trPr>
          <w:trHeight w:val="1576"/>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6</w:t>
            </w: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6</w:t>
            </w: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区行政审批局</w:t>
            </w: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区行政审批局</w:t>
            </w: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w:t>
            </w:r>
            <w:proofErr w:type="gramStart"/>
            <w:r>
              <w:rPr>
                <w:rFonts w:ascii="Times New Roman" w:eastAsia="仿宋_GB2312" w:hAnsi="Times New Roman"/>
                <w:color w:val="000000"/>
                <w:kern w:val="0"/>
                <w:sz w:val="20"/>
                <w:szCs w:val="20"/>
              </w:rPr>
              <w:t>高速公路涉路施工</w:t>
            </w:r>
            <w:proofErr w:type="gramEnd"/>
            <w:r>
              <w:rPr>
                <w:rFonts w:ascii="Times New Roman" w:eastAsia="仿宋_GB2312" w:hAnsi="Times New Roman"/>
                <w:color w:val="000000"/>
                <w:kern w:val="0"/>
                <w:sz w:val="20"/>
                <w:szCs w:val="20"/>
              </w:rPr>
              <w:t>许可</w:t>
            </w: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w:t>
            </w:r>
            <w:proofErr w:type="gramStart"/>
            <w:r>
              <w:rPr>
                <w:rFonts w:ascii="Times New Roman" w:eastAsia="仿宋_GB2312" w:hAnsi="Times New Roman"/>
                <w:color w:val="000000"/>
                <w:kern w:val="0"/>
                <w:sz w:val="20"/>
                <w:szCs w:val="20"/>
              </w:rPr>
              <w:t>高速公路涉路施工</w:t>
            </w:r>
            <w:proofErr w:type="gramEnd"/>
            <w:r>
              <w:rPr>
                <w:rFonts w:ascii="Times New Roman" w:eastAsia="仿宋_GB2312" w:hAnsi="Times New Roman"/>
                <w:color w:val="000000"/>
                <w:kern w:val="0"/>
                <w:sz w:val="20"/>
                <w:szCs w:val="20"/>
              </w:rPr>
              <w:t>许可</w:t>
            </w: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在公路、高速公路两侧建筑控制区内埋设管线、电缆等设施的许可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保障公路、公路附属设施质量和安全的技术评价报告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工程咨询机构</w:t>
            </w:r>
          </w:p>
        </w:tc>
        <w:tc>
          <w:tcPr>
            <w:tcW w:w="51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《公路安全保护条例》</w:t>
            </w:r>
          </w:p>
        </w:tc>
      </w:tr>
      <w:tr w:rsidR="0088221F">
        <w:trPr>
          <w:trHeight w:val="1540"/>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在公路、高速公路上增设平面交叉道口或者桥涵的许可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保障公路、公路附属设施质量和安全的技术评价报告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工程咨询机构</w:t>
            </w:r>
          </w:p>
        </w:tc>
        <w:tc>
          <w:tcPr>
            <w:tcW w:w="51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《公路安全保护条例》</w:t>
            </w:r>
          </w:p>
        </w:tc>
      </w:tr>
      <w:tr w:rsidR="0088221F">
        <w:trPr>
          <w:trHeight w:val="1549"/>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在公路、高速公路用地范围内架设、埋设管道、电缆等设施许可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保障公路、公路附属设施质量和安全的技术评价报告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工程咨询机构</w:t>
            </w:r>
          </w:p>
        </w:tc>
        <w:tc>
          <w:tcPr>
            <w:tcW w:w="51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《公路安全保护条例》</w:t>
            </w:r>
          </w:p>
        </w:tc>
      </w:tr>
      <w:tr w:rsidR="0088221F">
        <w:trPr>
          <w:trHeight w:val="1399"/>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利用公路、高速公路桥梁、隧道、涵洞铺设电缆等设施许可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保障公路、公路附属设施质量和安全的技术评价报告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工程咨询机构</w:t>
            </w:r>
          </w:p>
        </w:tc>
        <w:tc>
          <w:tcPr>
            <w:tcW w:w="51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《公路安全保护条例》</w:t>
            </w:r>
          </w:p>
        </w:tc>
      </w:tr>
      <w:tr w:rsidR="0088221F">
        <w:trPr>
          <w:trHeight w:val="1566"/>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在公路、高速公路用地范围内设置</w:t>
            </w:r>
            <w:proofErr w:type="gramStart"/>
            <w:r>
              <w:rPr>
                <w:rFonts w:ascii="Times New Roman" w:eastAsia="仿宋_GB2312" w:hAnsi="Times New Roman"/>
                <w:color w:val="000000"/>
                <w:kern w:val="0"/>
                <w:sz w:val="20"/>
                <w:szCs w:val="20"/>
              </w:rPr>
              <w:t>非公路</w:t>
            </w:r>
            <w:proofErr w:type="gramEnd"/>
            <w:r>
              <w:rPr>
                <w:rFonts w:ascii="Times New Roman" w:eastAsia="仿宋_GB2312" w:hAnsi="Times New Roman"/>
                <w:color w:val="000000"/>
                <w:kern w:val="0"/>
                <w:sz w:val="20"/>
                <w:szCs w:val="20"/>
              </w:rPr>
              <w:t>设施的许可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保障公路、公路附属设施质量和安全的技术评价报告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工程咨询机构</w:t>
            </w:r>
          </w:p>
        </w:tc>
        <w:tc>
          <w:tcPr>
            <w:tcW w:w="51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《公路安全保护条例》</w:t>
            </w:r>
          </w:p>
        </w:tc>
      </w:tr>
      <w:tr w:rsidR="0088221F">
        <w:trPr>
          <w:trHeight w:val="1998"/>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跨越、穿越公路、高速公路及在公路、高速公路用地内修建桥梁、渡槽或者架设、埋设管线等设施许可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保障公路、公路附属设施质量和安全的技术评价报告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工程咨询机构</w:t>
            </w:r>
          </w:p>
        </w:tc>
        <w:tc>
          <w:tcPr>
            <w:tcW w:w="51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《公路安全保护条例》</w:t>
            </w:r>
          </w:p>
        </w:tc>
      </w:tr>
      <w:tr w:rsidR="0088221F">
        <w:trPr>
          <w:trHeight w:val="1949"/>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工程建设需要临时占用或挖掘公路、高速公路许可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保障公路、公路附属设施质量和安全的技术评价报告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工程咨询机构</w:t>
            </w:r>
          </w:p>
        </w:tc>
        <w:tc>
          <w:tcPr>
            <w:tcW w:w="513"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w:t>
            </w:r>
          </w:p>
        </w:tc>
        <w:tc>
          <w:tcPr>
            <w:tcW w:w="755"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《公路安全保护条例》</w:t>
            </w:r>
          </w:p>
        </w:tc>
      </w:tr>
      <w:tr w:rsidR="0088221F">
        <w:trPr>
          <w:trHeight w:val="1293"/>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7</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市金融局</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区行政审批局（初审上报）</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典当行及分支机构经营许可</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设立典当行</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具有法定资格的会计师事务所出具的法人股东财务审计报告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《典当管理办法》</w:t>
            </w:r>
          </w:p>
        </w:tc>
      </w:tr>
      <w:tr w:rsidR="0088221F">
        <w:trPr>
          <w:trHeight w:val="1253"/>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具有法定资格的验资机构出具的验资证明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1399"/>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具有法定资格的会计师事务所出具的法人股东出资能力证明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1387"/>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典当行设立分支机构</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具有法定资格的会计师事务所出具的该典当行最近两年的财务会计报告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《典当管理办法》</w:t>
            </w:r>
          </w:p>
        </w:tc>
      </w:tr>
      <w:tr w:rsidR="0088221F">
        <w:trPr>
          <w:trHeight w:val="1411"/>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营运资金拨付证明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1151"/>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8</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市金融局</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滨海新区区行政</w:t>
            </w:r>
            <w:proofErr w:type="gramStart"/>
            <w:r>
              <w:rPr>
                <w:rFonts w:ascii="Times New Roman" w:eastAsia="仿宋_GB2312" w:hAnsi="Times New Roman"/>
                <w:kern w:val="0"/>
                <w:sz w:val="20"/>
                <w:szCs w:val="20"/>
              </w:rPr>
              <w:t>审批局</w:t>
            </w:r>
            <w:proofErr w:type="gramEnd"/>
            <w:r>
              <w:rPr>
                <w:rFonts w:ascii="Times New Roman" w:eastAsia="仿宋_GB2312" w:hAnsi="Times New Roman"/>
                <w:kern w:val="0"/>
                <w:sz w:val="20"/>
                <w:szCs w:val="20"/>
              </w:rPr>
              <w:t xml:space="preserve">   </w:t>
            </w:r>
            <w:r>
              <w:rPr>
                <w:rFonts w:ascii="Times New Roman" w:eastAsia="仿宋_GB2312" w:hAnsi="Times New Roman"/>
                <w:kern w:val="0"/>
                <w:sz w:val="20"/>
                <w:szCs w:val="20"/>
              </w:rPr>
              <w:t>（市级委托下放）</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融资担保机构的设立与变更许可</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设立</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法人机构</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出资人基本情况（</w:t>
            </w:r>
            <w:r>
              <w:rPr>
                <w:rFonts w:ascii="Times New Roman" w:eastAsia="仿宋_GB2312" w:hAnsi="Times New Roman"/>
                <w:color w:val="000000"/>
                <w:kern w:val="0"/>
                <w:sz w:val="20"/>
                <w:szCs w:val="20"/>
              </w:rPr>
              <w:t>具有相应资质的会计师事务所出具的近</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年财务审计报告</w:t>
            </w:r>
            <w:r>
              <w:rPr>
                <w:rFonts w:ascii="Times New Roman" w:eastAsia="仿宋_GB2312" w:hAnsi="Times New Roman" w:hint="eastAsia"/>
                <w:color w:val="000000"/>
                <w:kern w:val="0"/>
                <w:sz w:val="20"/>
                <w:szCs w:val="20"/>
              </w:rPr>
              <w:t>）</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《融资担保公司监督管理条例》</w:t>
            </w:r>
          </w:p>
        </w:tc>
      </w:tr>
      <w:tr w:rsidR="0088221F">
        <w:trPr>
          <w:trHeight w:val="1110"/>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出资人基本情况（</w:t>
            </w:r>
            <w:r>
              <w:rPr>
                <w:rFonts w:ascii="Times New Roman" w:eastAsia="仿宋_GB2312" w:hAnsi="Times New Roman"/>
                <w:color w:val="000000"/>
                <w:kern w:val="0"/>
                <w:sz w:val="20"/>
                <w:szCs w:val="20"/>
              </w:rPr>
              <w:t>专业信用评级机构出具的出资能力评估报告</w:t>
            </w:r>
            <w:r>
              <w:rPr>
                <w:rFonts w:ascii="Times New Roman" w:eastAsia="仿宋_GB2312" w:hAnsi="Times New Roman" w:hint="eastAsia"/>
                <w:color w:val="000000"/>
                <w:kern w:val="0"/>
                <w:sz w:val="20"/>
                <w:szCs w:val="20"/>
              </w:rPr>
              <w:t>）</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专业信用评级机构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中国人民银行</w:t>
            </w: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838"/>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具有资质的会计师事务所出具的验资报告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1120"/>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设立</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异地机构在我市设立分支机构</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具有相应资质的会计师事务所出具的近</w:t>
            </w:r>
            <w:r>
              <w:rPr>
                <w:rFonts w:ascii="Times New Roman" w:eastAsia="仿宋_GB2312" w:hAnsi="Times New Roman"/>
                <w:color w:val="000000"/>
                <w:kern w:val="0"/>
                <w:sz w:val="20"/>
                <w:szCs w:val="20"/>
              </w:rPr>
              <w:t>3</w:t>
            </w:r>
            <w:r>
              <w:rPr>
                <w:rFonts w:ascii="Times New Roman" w:eastAsia="仿宋_GB2312" w:hAnsi="Times New Roman"/>
                <w:color w:val="000000"/>
                <w:kern w:val="0"/>
                <w:sz w:val="20"/>
                <w:szCs w:val="20"/>
              </w:rPr>
              <w:t>年财务审计报告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《融资担保公司监督管理条例》</w:t>
            </w:r>
          </w:p>
        </w:tc>
      </w:tr>
      <w:tr w:rsidR="0088221F">
        <w:trPr>
          <w:trHeight w:val="966"/>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具有资质的会计师事务所出具的验资报告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1259"/>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变更</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合并</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具有资质的会计师事务所出具的验资报告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《融资担保公司监督管理条例》</w:t>
            </w:r>
          </w:p>
        </w:tc>
      </w:tr>
      <w:tr w:rsidR="0088221F">
        <w:trPr>
          <w:trHeight w:val="1121"/>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变更</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分立</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具有资质的会计师事务所出具的验资报告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600"/>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9</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市商务局</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区行政审批局（初审上报）</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企业及分公司申请取得拍卖业务许可</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企业分公司申请取得从事拍卖业务许可</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设立</w:t>
            </w:r>
          </w:p>
        </w:tc>
        <w:tc>
          <w:tcPr>
            <w:tcW w:w="82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最近两年经会计师事务所审计的年度财务会计报表</w:t>
            </w:r>
          </w:p>
        </w:tc>
        <w:tc>
          <w:tcPr>
            <w:tcW w:w="53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《拍卖管理办法》</w:t>
            </w:r>
          </w:p>
        </w:tc>
      </w:tr>
      <w:tr w:rsidR="0088221F">
        <w:trPr>
          <w:trHeight w:val="450"/>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405"/>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1531"/>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10</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市商务局</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不涉及</w:t>
            </w: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对外劳务合作经营资格核准</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企业验资报告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《对外劳务合作管理条例》</w:t>
            </w:r>
          </w:p>
        </w:tc>
      </w:tr>
      <w:tr w:rsidR="0088221F">
        <w:trPr>
          <w:trHeight w:val="420"/>
        </w:trPr>
        <w:tc>
          <w:tcPr>
            <w:tcW w:w="172"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11</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市水</w:t>
            </w:r>
            <w:proofErr w:type="gramStart"/>
            <w:r>
              <w:rPr>
                <w:rFonts w:ascii="Times New Roman" w:eastAsia="仿宋_GB2312" w:hAnsi="Times New Roman"/>
                <w:color w:val="000000"/>
                <w:kern w:val="0"/>
                <w:sz w:val="20"/>
                <w:szCs w:val="20"/>
              </w:rPr>
              <w:t>务</w:t>
            </w:r>
            <w:proofErr w:type="gramEnd"/>
            <w:r>
              <w:rPr>
                <w:rFonts w:ascii="Times New Roman" w:eastAsia="仿宋_GB2312" w:hAnsi="Times New Roman"/>
                <w:color w:val="000000"/>
                <w:kern w:val="0"/>
                <w:sz w:val="20"/>
                <w:szCs w:val="20"/>
              </w:rPr>
              <w:t>局</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水工程建设项目许可</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水利基建项目初步设计文件许可</w:t>
            </w:r>
          </w:p>
        </w:tc>
        <w:tc>
          <w:tcPr>
            <w:tcW w:w="82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初步设计报告</w:t>
            </w:r>
          </w:p>
        </w:tc>
        <w:tc>
          <w:tcPr>
            <w:tcW w:w="53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水利基建项目工程初步设计机构</w:t>
            </w:r>
          </w:p>
        </w:tc>
        <w:tc>
          <w:tcPr>
            <w:tcW w:w="51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市水</w:t>
            </w:r>
            <w:proofErr w:type="gramStart"/>
            <w:r>
              <w:rPr>
                <w:rFonts w:ascii="Times New Roman" w:eastAsia="仿宋_GB2312" w:hAnsi="Times New Roman"/>
                <w:color w:val="000000"/>
                <w:kern w:val="0"/>
                <w:sz w:val="20"/>
                <w:szCs w:val="20"/>
              </w:rPr>
              <w:t>务</w:t>
            </w:r>
            <w:proofErr w:type="gramEnd"/>
            <w:r>
              <w:rPr>
                <w:rFonts w:ascii="Times New Roman" w:eastAsia="仿宋_GB2312" w:hAnsi="Times New Roman"/>
                <w:color w:val="000000"/>
                <w:kern w:val="0"/>
                <w:sz w:val="20"/>
                <w:szCs w:val="20"/>
              </w:rPr>
              <w:t>局</w:t>
            </w:r>
          </w:p>
        </w:tc>
        <w:tc>
          <w:tcPr>
            <w:tcW w:w="75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《水利基本建设投资计划管理暂行办法》</w:t>
            </w:r>
          </w:p>
        </w:tc>
      </w:tr>
      <w:tr w:rsidR="0088221F">
        <w:trPr>
          <w:trHeight w:val="465"/>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611"/>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r>
      <w:tr w:rsidR="0088221F">
        <w:trPr>
          <w:trHeight w:val="1692"/>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12</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市市场监管委</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区市场监管局</w:t>
            </w: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公司（分公司）登记</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股份有限公司设立</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募集设立的股份有限公司提交依法设立的验资机构出具的验资证明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《公司法》</w:t>
            </w: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《公司登记管理条例》</w:t>
            </w:r>
          </w:p>
        </w:tc>
      </w:tr>
      <w:tr w:rsidR="0088221F">
        <w:trPr>
          <w:trHeight w:val="1399"/>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13</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市市场监管委</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区市场监管局</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非公司企业法人设立登记</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非公司企业法人设立、变更登记</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出资人为集体所有制企业的，提交依法设立的验资机构出具的验资证明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《企业法人登记管理条例》</w:t>
            </w: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《企业法人登记管理条例实施细则》</w:t>
            </w:r>
          </w:p>
        </w:tc>
      </w:tr>
      <w:tr w:rsidR="0088221F">
        <w:trPr>
          <w:trHeight w:val="2001"/>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出资人为集体所有制企业的申请变更注册资本时，提交依法设立的验资机构出具的验资证明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《企业法人登记管理条例》</w:t>
            </w: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《企业法人登记管理条例实施细则》</w:t>
            </w:r>
          </w:p>
        </w:tc>
      </w:tr>
      <w:tr w:rsidR="0088221F">
        <w:trPr>
          <w:trHeight w:val="1391"/>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14</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放射诊疗建设项目（放射防护）卫生审查许可</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职业病防护设施竣工验收</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职业病危害预评价报告书（表）</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放射卫生评价机构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《放射诊疗建设项目卫生审查管理规定》</w:t>
            </w:r>
          </w:p>
        </w:tc>
      </w:tr>
      <w:tr w:rsidR="0088221F">
        <w:trPr>
          <w:trHeight w:val="1690"/>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放射诊疗建设项目职业病危害控制效果放射防护评价报告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放射卫生评价机构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《放射诊疗建设项目卫生审查管理规定》</w:t>
            </w:r>
          </w:p>
        </w:tc>
      </w:tr>
      <w:tr w:rsidR="0088221F">
        <w:trPr>
          <w:trHeight w:val="1546"/>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15</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供水单位卫生许可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集中式供水单位</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水源水和出厂水的水质检测报告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水质检测和涉水产品检验机构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《生活饮用水卫生监督管理办法》</w:t>
            </w:r>
          </w:p>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《生活饮用水集中式供水单位卫生规范》</w:t>
            </w:r>
          </w:p>
        </w:tc>
      </w:tr>
      <w:tr w:rsidR="0088221F">
        <w:trPr>
          <w:trHeight w:val="3113"/>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16</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滨海新区区行政</w:t>
            </w:r>
            <w:proofErr w:type="gramStart"/>
            <w:r>
              <w:rPr>
                <w:rFonts w:ascii="Times New Roman" w:eastAsia="仿宋_GB2312" w:hAnsi="Times New Roman"/>
                <w:kern w:val="0"/>
                <w:sz w:val="20"/>
                <w:szCs w:val="20"/>
              </w:rPr>
              <w:t>审批局</w:t>
            </w:r>
            <w:proofErr w:type="gramEnd"/>
            <w:r>
              <w:rPr>
                <w:rFonts w:ascii="Times New Roman" w:eastAsia="仿宋_GB2312" w:hAnsi="Times New Roman"/>
                <w:kern w:val="0"/>
                <w:sz w:val="20"/>
                <w:szCs w:val="20"/>
              </w:rPr>
              <w:t xml:space="preserve">   </w:t>
            </w:r>
            <w:r>
              <w:rPr>
                <w:rFonts w:ascii="Times New Roman" w:eastAsia="仿宋_GB2312" w:hAnsi="Times New Roman"/>
                <w:kern w:val="0"/>
                <w:sz w:val="20"/>
                <w:szCs w:val="20"/>
              </w:rPr>
              <w:t>（市级委托下放）</w:t>
            </w: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涉及饮用水卫生安全产品卫生许可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涉及饮用水卫生安全产品卫生许可</w:t>
            </w:r>
            <w:r>
              <w:rPr>
                <w:rFonts w:ascii="Times New Roman" w:eastAsia="仿宋_GB2312" w:hAnsi="Times New Roman"/>
                <w:kern w:val="0"/>
                <w:sz w:val="20"/>
                <w:szCs w:val="20"/>
              </w:rPr>
              <w:t>-</w:t>
            </w:r>
            <w:r>
              <w:rPr>
                <w:rFonts w:ascii="Times New Roman" w:eastAsia="仿宋_GB2312" w:hAnsi="Times New Roman"/>
                <w:kern w:val="0"/>
                <w:sz w:val="20"/>
                <w:szCs w:val="20"/>
              </w:rPr>
              <w:t>设立、变更</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产品检验报告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水质检测和涉水产品检验机构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《省级涉及饮用水卫生安全产品卫生行政许可规定》附件</w:t>
            </w:r>
            <w:r>
              <w:rPr>
                <w:rFonts w:ascii="Times New Roman" w:eastAsia="仿宋_GB2312" w:hAnsi="Times New Roman"/>
                <w:color w:val="000000"/>
                <w:kern w:val="0"/>
                <w:sz w:val="20"/>
                <w:szCs w:val="20"/>
              </w:rPr>
              <w:t>1</w:t>
            </w:r>
          </w:p>
        </w:tc>
      </w:tr>
      <w:tr w:rsidR="0088221F">
        <w:trPr>
          <w:trHeight w:val="1424"/>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17</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公共场所卫生许可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卫生检测报告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公共场所卫生检测机构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《公共场所卫生管理条例实施细则》</w:t>
            </w:r>
          </w:p>
        </w:tc>
      </w:tr>
      <w:tr w:rsidR="0088221F">
        <w:trPr>
          <w:trHeight w:val="1858"/>
        </w:trPr>
        <w:tc>
          <w:tcPr>
            <w:tcW w:w="172" w:type="pct"/>
            <w:vMerge w:val="restart"/>
            <w:tcBorders>
              <w:top w:val="single" w:sz="8" w:space="0" w:color="auto"/>
              <w:left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18</w:t>
            </w:r>
          </w:p>
        </w:tc>
        <w:tc>
          <w:tcPr>
            <w:tcW w:w="471"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281"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滨海新区区行政审批局（市级委托下放）</w:t>
            </w:r>
          </w:p>
        </w:tc>
        <w:tc>
          <w:tcPr>
            <w:tcW w:w="514"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消毒产品生产企业（一次性使用医疗用品的生产企业除外）卫生许可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设立</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生产环境和生产用水检测报告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消毒产品生产环境和生产用水检测报告编制机构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《消毒产品生产企业卫生许可规定》</w:t>
            </w:r>
          </w:p>
        </w:tc>
      </w:tr>
      <w:tr w:rsidR="0088221F">
        <w:trPr>
          <w:trHeight w:val="1533"/>
        </w:trPr>
        <w:tc>
          <w:tcPr>
            <w:tcW w:w="172" w:type="pct"/>
            <w:vMerge/>
            <w:tcBorders>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kern w:val="0"/>
                <w:sz w:val="20"/>
                <w:szCs w:val="20"/>
              </w:rPr>
            </w:pPr>
          </w:p>
        </w:tc>
        <w:tc>
          <w:tcPr>
            <w:tcW w:w="281"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变更</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生产环境和生产用水检测报告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消毒产品生产环境和生产用水检测报告编制机构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市卫生健康委</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《消毒产品生产企业卫生许可规定》</w:t>
            </w:r>
          </w:p>
        </w:tc>
      </w:tr>
      <w:tr w:rsidR="0088221F">
        <w:trPr>
          <w:trHeight w:val="1653"/>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19</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市教委</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滨海新区区行政</w:t>
            </w:r>
            <w:proofErr w:type="gramStart"/>
            <w:r>
              <w:rPr>
                <w:rFonts w:ascii="Times New Roman" w:eastAsia="仿宋_GB2312" w:hAnsi="Times New Roman"/>
                <w:color w:val="000000"/>
                <w:kern w:val="0"/>
                <w:sz w:val="20"/>
                <w:szCs w:val="20"/>
              </w:rPr>
              <w:t>审批局</w:t>
            </w:r>
            <w:proofErr w:type="gramEnd"/>
            <w:r>
              <w:rPr>
                <w:rFonts w:ascii="Times New Roman" w:eastAsia="仿宋_GB2312" w:hAnsi="Times New Roman"/>
                <w:color w:val="000000"/>
                <w:kern w:val="0"/>
                <w:sz w:val="20"/>
                <w:szCs w:val="20"/>
              </w:rPr>
              <w:t xml:space="preserve">   </w:t>
            </w:r>
            <w:r>
              <w:rPr>
                <w:rFonts w:ascii="Times New Roman" w:eastAsia="仿宋_GB2312" w:hAnsi="Times New Roman"/>
                <w:color w:val="000000"/>
                <w:kern w:val="0"/>
                <w:sz w:val="20"/>
                <w:szCs w:val="20"/>
              </w:rPr>
              <w:t>（市级委托下放）</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中外合作办学许可</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实施高等专科教育、中等学历教育、非学历高等教育、自学考试助学、文化补习、学前教育等的中外（含内地与港澳台）合作办学机构设立、变更和终止审批</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有资产、资金投入的，</w:t>
            </w:r>
            <w:proofErr w:type="gramStart"/>
            <w:r>
              <w:rPr>
                <w:rFonts w:ascii="Times New Roman" w:eastAsia="仿宋_GB2312" w:hAnsi="Times New Roman"/>
                <w:color w:val="000000"/>
                <w:kern w:val="0"/>
                <w:sz w:val="20"/>
                <w:szCs w:val="20"/>
              </w:rPr>
              <w:t>需提交验</w:t>
            </w:r>
            <w:proofErr w:type="gramEnd"/>
            <w:r>
              <w:rPr>
                <w:rFonts w:ascii="Times New Roman" w:eastAsia="仿宋_GB2312" w:hAnsi="Times New Roman"/>
                <w:color w:val="000000"/>
                <w:kern w:val="0"/>
                <w:sz w:val="20"/>
                <w:szCs w:val="20"/>
              </w:rPr>
              <w:t>资证明和资产评估证明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《中外合作办学条例》</w:t>
            </w:r>
          </w:p>
        </w:tc>
      </w:tr>
      <w:tr w:rsidR="0088221F">
        <w:trPr>
          <w:trHeight w:val="1399"/>
        </w:trPr>
        <w:tc>
          <w:tcPr>
            <w:tcW w:w="172" w:type="pct"/>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分立、合并、合作办学者变更、终止</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需提供财务清算报告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《中外合作办学条例》</w:t>
            </w:r>
          </w:p>
        </w:tc>
      </w:tr>
      <w:tr w:rsidR="0088221F">
        <w:trPr>
          <w:trHeight w:val="1399"/>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20</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市教委</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滨海新区区行政</w:t>
            </w:r>
            <w:proofErr w:type="gramStart"/>
            <w:r>
              <w:rPr>
                <w:rFonts w:ascii="Times New Roman" w:eastAsia="仿宋_GB2312" w:hAnsi="Times New Roman"/>
                <w:color w:val="000000"/>
                <w:kern w:val="0"/>
                <w:sz w:val="20"/>
                <w:szCs w:val="20"/>
              </w:rPr>
              <w:t>审批局</w:t>
            </w:r>
            <w:proofErr w:type="gramEnd"/>
            <w:r>
              <w:rPr>
                <w:rFonts w:ascii="Times New Roman" w:eastAsia="仿宋_GB2312" w:hAnsi="Times New Roman"/>
                <w:color w:val="000000"/>
                <w:kern w:val="0"/>
                <w:sz w:val="20"/>
                <w:szCs w:val="20"/>
              </w:rPr>
              <w:t xml:space="preserve">   </w:t>
            </w:r>
            <w:r>
              <w:rPr>
                <w:rFonts w:ascii="Times New Roman" w:eastAsia="仿宋_GB2312" w:hAnsi="Times New Roman"/>
                <w:color w:val="000000"/>
                <w:kern w:val="0"/>
                <w:sz w:val="20"/>
                <w:szCs w:val="20"/>
              </w:rPr>
              <w:t>（市级委托下放）</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实施专科教育的高等学校和其他高等教育机构的设立、变更、终止许可（市级权限委托滨海新区实施</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验资证明和资产评估证明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1399"/>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分立、合并、举办者变更、终止</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需提供财务清算报告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1715"/>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21</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市教委</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不涉及</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开办外籍人员子女学校许可</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拟建学校经费的验资证明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《国家教育委员会关于开办外籍人员子女学校的暂行管理办法》</w:t>
            </w:r>
          </w:p>
        </w:tc>
      </w:tr>
      <w:tr w:rsidR="0088221F">
        <w:trPr>
          <w:trHeight w:val="678"/>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变更举办者、终止，需提供财务清算报告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r>
              <w:rPr>
                <w:rFonts w:ascii="Times New Roman" w:eastAsia="仿宋_GB2312" w:hAnsi="Times New Roman"/>
                <w:color w:val="000000"/>
                <w:kern w:val="0"/>
                <w:sz w:val="20"/>
                <w:szCs w:val="20"/>
              </w:rPr>
              <w:t>7</w:t>
            </w:r>
          </w:p>
        </w:tc>
      </w:tr>
      <w:tr w:rsidR="0088221F">
        <w:trPr>
          <w:trHeight w:val="1113"/>
        </w:trPr>
        <w:tc>
          <w:tcPr>
            <w:tcW w:w="172" w:type="pct"/>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22</w:t>
            </w:r>
          </w:p>
        </w:tc>
        <w:tc>
          <w:tcPr>
            <w:tcW w:w="47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市教委</w:t>
            </w:r>
          </w:p>
        </w:tc>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不涉及</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实施本科以上高等学历教育的中外合作办学审批</w:t>
            </w:r>
          </w:p>
        </w:tc>
        <w:tc>
          <w:tcPr>
            <w:tcW w:w="93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实施本科以上中外合作办学机构设立、变更、延续和终止许可审批</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有资产、资金投入的，</w:t>
            </w:r>
            <w:proofErr w:type="gramStart"/>
            <w:r>
              <w:rPr>
                <w:rFonts w:ascii="Times New Roman" w:eastAsia="仿宋_GB2312" w:hAnsi="Times New Roman"/>
                <w:color w:val="000000"/>
                <w:kern w:val="0"/>
                <w:sz w:val="20"/>
                <w:szCs w:val="20"/>
              </w:rPr>
              <w:t>需提交验</w:t>
            </w:r>
            <w:proofErr w:type="gramEnd"/>
            <w:r>
              <w:rPr>
                <w:rFonts w:ascii="Times New Roman" w:eastAsia="仿宋_GB2312" w:hAnsi="Times New Roman"/>
                <w:color w:val="000000"/>
                <w:kern w:val="0"/>
                <w:sz w:val="20"/>
                <w:szCs w:val="20"/>
              </w:rPr>
              <w:t>资证明和资产评估证明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《中外合作办学条例》</w:t>
            </w:r>
          </w:p>
        </w:tc>
      </w:tr>
      <w:tr w:rsidR="0088221F">
        <w:trPr>
          <w:trHeight w:val="1141"/>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分立、合并、合作办学者变更、终止</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需提供财务清算报告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《中外合作办学条例》</w:t>
            </w:r>
          </w:p>
        </w:tc>
      </w:tr>
      <w:tr w:rsidR="0088221F">
        <w:trPr>
          <w:trHeight w:val="1009"/>
        </w:trPr>
        <w:tc>
          <w:tcPr>
            <w:tcW w:w="172" w:type="pct"/>
            <w:vMerge w:val="restart"/>
            <w:tcBorders>
              <w:top w:val="single" w:sz="8" w:space="0" w:color="auto"/>
              <w:left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23</w:t>
            </w:r>
          </w:p>
        </w:tc>
        <w:tc>
          <w:tcPr>
            <w:tcW w:w="471"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市教委</w:t>
            </w:r>
          </w:p>
        </w:tc>
        <w:tc>
          <w:tcPr>
            <w:tcW w:w="281"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514"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实施中等及中等以下学历教育、学前教育、自学考试助学和实施高等以下非学历文化教育的民办学校的筹设、设立、变更、延续与终止的许可</w:t>
            </w:r>
          </w:p>
        </w:tc>
        <w:tc>
          <w:tcPr>
            <w:tcW w:w="936"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中等职业学校的许可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资产来源、资金数额及有效证明文件（验资证明和资产评估证明）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968"/>
        </w:trPr>
        <w:tc>
          <w:tcPr>
            <w:tcW w:w="172" w:type="pct"/>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分立、合并、举办者变更、终止，需提供财务清算报告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981"/>
        </w:trPr>
        <w:tc>
          <w:tcPr>
            <w:tcW w:w="172" w:type="pct"/>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中小学的许可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资产来源、资金数额及有效证明文件（验资证明和资产评估证明）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969"/>
        </w:trPr>
        <w:tc>
          <w:tcPr>
            <w:tcW w:w="172" w:type="pct"/>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分立、合并、举办者变更、终止，需提供财务清算报告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966"/>
        </w:trPr>
        <w:tc>
          <w:tcPr>
            <w:tcW w:w="172" w:type="pct"/>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幼儿园的许可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资产来源、资金数额及有效证明文件（验资证明和资产评估证明）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979"/>
        </w:trPr>
        <w:tc>
          <w:tcPr>
            <w:tcW w:w="172" w:type="pct"/>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分立、合并、举办者变更、终止，需提供财务清算报告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1399"/>
        </w:trPr>
        <w:tc>
          <w:tcPr>
            <w:tcW w:w="172" w:type="pct"/>
            <w:vMerge/>
            <w:tcBorders>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实施非学历文化教育、自学考试助学的教育机构的许可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资产来源、资金数额及有效证明文件（验资证明和资产评估证明）</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1399"/>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23</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市教委</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实施中等及中等以下学历教育、学前教育、自学考试助学和实施高等以下非学历文化教育的民办学校的筹设、设立、变更、延续与终止的许可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实施非学历文化教育、自学考试助学的教育机构的许可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分立、合并、举办者变更、终止，需提供财务清算报告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会计师事务所</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市财政局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《民办教育促进法》</w:t>
            </w:r>
          </w:p>
        </w:tc>
      </w:tr>
      <w:tr w:rsidR="0088221F">
        <w:trPr>
          <w:trHeight w:val="3176"/>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24</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市交通运输委（市港航局）</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不涉及</w:t>
            </w: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港口经营许可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新建、改建、扩建储存、装卸危险货物港口设施的，提交安全设施验收合格证明材料；使用现有港口设施的，提交对现状的安全评价报告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《港口危险货物安全管理规定》</w:t>
            </w:r>
          </w:p>
        </w:tc>
      </w:tr>
      <w:tr w:rsidR="0088221F">
        <w:trPr>
          <w:trHeight w:val="1151"/>
        </w:trPr>
        <w:tc>
          <w:tcPr>
            <w:tcW w:w="172" w:type="pct"/>
            <w:vMerge w:val="restart"/>
            <w:tcBorders>
              <w:top w:val="single" w:sz="8" w:space="0" w:color="auto"/>
              <w:left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25</w:t>
            </w:r>
          </w:p>
        </w:tc>
        <w:tc>
          <w:tcPr>
            <w:tcW w:w="471" w:type="pct"/>
            <w:tcBorders>
              <w:top w:val="single" w:sz="8" w:space="0" w:color="auto"/>
              <w:left w:val="single" w:sz="8" w:space="0" w:color="auto"/>
              <w:right w:val="single" w:sz="8" w:space="0" w:color="auto"/>
            </w:tcBorders>
            <w:shd w:val="clear" w:color="auto" w:fill="FFFFFF"/>
            <w:vAlign w:val="center"/>
          </w:tcPr>
          <w:p w:rsidR="0088221F" w:rsidRDefault="00EE1A42">
            <w:pPr>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市交通运输委（市港航局）</w:t>
            </w:r>
          </w:p>
        </w:tc>
        <w:tc>
          <w:tcPr>
            <w:tcW w:w="281" w:type="pct"/>
            <w:tcBorders>
              <w:top w:val="single" w:sz="8" w:space="0" w:color="auto"/>
              <w:left w:val="single" w:sz="8" w:space="0" w:color="auto"/>
              <w:right w:val="single" w:sz="8" w:space="0" w:color="auto"/>
            </w:tcBorders>
            <w:shd w:val="clear" w:color="auto" w:fill="FFFFFF"/>
            <w:vAlign w:val="center"/>
          </w:tcPr>
          <w:p w:rsidR="0088221F" w:rsidRDefault="00EE1A42">
            <w:pPr>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不涉及</w:t>
            </w:r>
          </w:p>
        </w:tc>
        <w:tc>
          <w:tcPr>
            <w:tcW w:w="514"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矿山、金属冶炼建设项目和用于生产、储存危险物品的建设项目的安全设施设计审查</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危险货物港口建设项目安全条件审查</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危险货物港口建设项目安全预评价报告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《港口危险货物安全管理规定》</w:t>
            </w:r>
          </w:p>
        </w:tc>
      </w:tr>
      <w:tr w:rsidR="0088221F">
        <w:trPr>
          <w:trHeight w:val="826"/>
        </w:trPr>
        <w:tc>
          <w:tcPr>
            <w:tcW w:w="172" w:type="pct"/>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471" w:type="pct"/>
            <w:vMerge w:val="restart"/>
            <w:tcBorders>
              <w:left w:val="single" w:sz="8" w:space="0" w:color="auto"/>
              <w:right w:val="single" w:sz="8" w:space="0" w:color="auto"/>
            </w:tcBorders>
            <w:shd w:val="clear" w:color="auto" w:fill="FFFFFF"/>
            <w:vAlign w:val="center"/>
          </w:tcPr>
          <w:p w:rsidR="0088221F" w:rsidRDefault="00EE1A42">
            <w:pPr>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281" w:type="pct"/>
            <w:vMerge w:val="restart"/>
            <w:tcBorders>
              <w:left w:val="single" w:sz="8" w:space="0" w:color="auto"/>
              <w:right w:val="single" w:sz="8" w:space="0" w:color="auto"/>
            </w:tcBorders>
            <w:shd w:val="clear" w:color="auto" w:fill="FFFFFF"/>
            <w:vAlign w:val="center"/>
          </w:tcPr>
          <w:p w:rsidR="0088221F" w:rsidRDefault="00EE1A42">
            <w:pPr>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危险化学品建设项目安全条件审查</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《危险化学品建设项目安全监督管理办法》</w:t>
            </w:r>
          </w:p>
        </w:tc>
      </w:tr>
      <w:tr w:rsidR="0088221F">
        <w:trPr>
          <w:trHeight w:val="1151"/>
        </w:trPr>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危险化学品建设项目安全设施设计审查</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危险化学品建设项目安全设施设计专篇</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设计单位</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市住房和城乡建设委员会</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《危险化学品建设项目安全监督管理办法》</w:t>
            </w:r>
          </w:p>
        </w:tc>
      </w:tr>
      <w:tr w:rsidR="0088221F">
        <w:trPr>
          <w:trHeight w:val="1111"/>
        </w:trPr>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936"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金属冶炼建设项目安全设施设计审查</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金属冶炼建设项目安全设施设计专篇</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设计单位</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市住房和城乡建设委员会</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《建设项目安全设施</w:t>
            </w:r>
            <w:r>
              <w:rPr>
                <w:rFonts w:ascii="Times New Roman" w:eastAsia="仿宋_GB2312" w:hAnsi="Times New Roman"/>
                <w:kern w:val="0"/>
                <w:sz w:val="20"/>
                <w:szCs w:val="20"/>
              </w:rPr>
              <w:t>“</w:t>
            </w:r>
            <w:r>
              <w:rPr>
                <w:rFonts w:ascii="Times New Roman" w:eastAsia="仿宋_GB2312" w:hAnsi="Times New Roman"/>
                <w:kern w:val="0"/>
                <w:sz w:val="20"/>
                <w:szCs w:val="20"/>
              </w:rPr>
              <w:t>三同时</w:t>
            </w:r>
            <w:r>
              <w:rPr>
                <w:rFonts w:ascii="Times New Roman" w:eastAsia="仿宋_GB2312" w:hAnsi="Times New Roman"/>
                <w:kern w:val="0"/>
                <w:sz w:val="20"/>
                <w:szCs w:val="20"/>
              </w:rPr>
              <w:t>”</w:t>
            </w:r>
            <w:r>
              <w:rPr>
                <w:rFonts w:ascii="Times New Roman" w:eastAsia="仿宋_GB2312" w:hAnsi="Times New Roman"/>
                <w:kern w:val="0"/>
                <w:sz w:val="20"/>
                <w:szCs w:val="20"/>
              </w:rPr>
              <w:t>监督管理暂行办法》</w:t>
            </w:r>
          </w:p>
        </w:tc>
      </w:tr>
      <w:tr w:rsidR="0088221F">
        <w:trPr>
          <w:trHeight w:val="971"/>
        </w:trPr>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936"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金属冶炼建设项目安全预评价报告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《建设项目安全设施</w:t>
            </w:r>
            <w:r>
              <w:rPr>
                <w:rFonts w:ascii="Times New Roman" w:eastAsia="仿宋_GB2312" w:hAnsi="Times New Roman"/>
                <w:kern w:val="0"/>
                <w:sz w:val="20"/>
                <w:szCs w:val="20"/>
              </w:rPr>
              <w:t>“</w:t>
            </w:r>
            <w:r>
              <w:rPr>
                <w:rFonts w:ascii="Times New Roman" w:eastAsia="仿宋_GB2312" w:hAnsi="Times New Roman"/>
                <w:kern w:val="0"/>
                <w:sz w:val="20"/>
                <w:szCs w:val="20"/>
              </w:rPr>
              <w:t>三同时</w:t>
            </w:r>
            <w:r>
              <w:rPr>
                <w:rFonts w:ascii="Times New Roman" w:eastAsia="仿宋_GB2312" w:hAnsi="Times New Roman"/>
                <w:kern w:val="0"/>
                <w:sz w:val="20"/>
                <w:szCs w:val="20"/>
              </w:rPr>
              <w:t>”</w:t>
            </w:r>
            <w:r>
              <w:rPr>
                <w:rFonts w:ascii="Times New Roman" w:eastAsia="仿宋_GB2312" w:hAnsi="Times New Roman"/>
                <w:kern w:val="0"/>
                <w:sz w:val="20"/>
                <w:szCs w:val="20"/>
              </w:rPr>
              <w:t>监督管理暂行办法》</w:t>
            </w:r>
          </w:p>
        </w:tc>
      </w:tr>
      <w:tr w:rsidR="0088221F">
        <w:trPr>
          <w:trHeight w:val="986"/>
        </w:trPr>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right w:val="single" w:sz="8" w:space="0" w:color="auto"/>
            </w:tcBorders>
            <w:vAlign w:val="center"/>
          </w:tcPr>
          <w:p w:rsidR="0088221F" w:rsidRDefault="0088221F">
            <w:pPr>
              <w:widowControl/>
              <w:jc w:val="center"/>
              <w:rPr>
                <w:rFonts w:ascii="Times New Roman" w:eastAsia="仿宋_GB2312" w:hAnsi="Times New Roman"/>
                <w:kern w:val="0"/>
                <w:sz w:val="20"/>
                <w:szCs w:val="20"/>
              </w:rPr>
            </w:pPr>
          </w:p>
        </w:tc>
        <w:tc>
          <w:tcPr>
            <w:tcW w:w="936" w:type="pct"/>
            <w:vMerge w:val="restart"/>
            <w:tcBorders>
              <w:top w:val="single" w:sz="8" w:space="0" w:color="auto"/>
              <w:left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非煤矿矿山建设项目安全设施设计审查</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安全预评价报告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《建设项目安全设施</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三同时</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监督管理暂行办法》</w:t>
            </w:r>
          </w:p>
        </w:tc>
      </w:tr>
      <w:tr w:rsidR="0088221F">
        <w:trPr>
          <w:trHeight w:val="1399"/>
        </w:trPr>
        <w:tc>
          <w:tcPr>
            <w:tcW w:w="0" w:type="auto"/>
            <w:vMerge/>
            <w:tcBorders>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514"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vMerge/>
            <w:tcBorders>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非煤矿矿山建设项目安全设施设计专篇</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设计单位</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市住房和城乡建设委员会</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《建设项目安全设施</w:t>
            </w:r>
            <w:r>
              <w:rPr>
                <w:rFonts w:ascii="Times New Roman" w:eastAsia="仿宋_GB2312" w:hAnsi="Times New Roman"/>
                <w:kern w:val="0"/>
                <w:sz w:val="20"/>
                <w:szCs w:val="20"/>
              </w:rPr>
              <w:t>“</w:t>
            </w:r>
            <w:r>
              <w:rPr>
                <w:rFonts w:ascii="Times New Roman" w:eastAsia="仿宋_GB2312" w:hAnsi="Times New Roman"/>
                <w:kern w:val="0"/>
                <w:sz w:val="20"/>
                <w:szCs w:val="20"/>
              </w:rPr>
              <w:t>三同时</w:t>
            </w:r>
            <w:r>
              <w:rPr>
                <w:rFonts w:ascii="Times New Roman" w:eastAsia="仿宋_GB2312" w:hAnsi="Times New Roman"/>
                <w:kern w:val="0"/>
                <w:sz w:val="20"/>
                <w:szCs w:val="20"/>
              </w:rPr>
              <w:t>”</w:t>
            </w:r>
            <w:r>
              <w:rPr>
                <w:rFonts w:ascii="Times New Roman" w:eastAsia="仿宋_GB2312" w:hAnsi="Times New Roman"/>
                <w:kern w:val="0"/>
                <w:sz w:val="20"/>
                <w:szCs w:val="20"/>
              </w:rPr>
              <w:t>监督管理暂行办法》</w:t>
            </w:r>
          </w:p>
        </w:tc>
      </w:tr>
      <w:tr w:rsidR="0088221F">
        <w:trPr>
          <w:trHeight w:val="1399"/>
        </w:trPr>
        <w:tc>
          <w:tcPr>
            <w:tcW w:w="0" w:type="auto"/>
            <w:vMerge w:val="restar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26</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不涉及</w:t>
            </w:r>
          </w:p>
        </w:tc>
        <w:tc>
          <w:tcPr>
            <w:tcW w:w="51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安全生产许可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危险化学品生产企业安全生产许可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《危险化学品生产企业安全生产许可证实施办法》</w:t>
            </w:r>
          </w:p>
        </w:tc>
      </w:tr>
      <w:tr w:rsidR="0088221F">
        <w:trPr>
          <w:trHeight w:val="2417"/>
        </w:trPr>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0" w:type="auto"/>
            <w:vMerge/>
            <w:tcBorders>
              <w:top w:val="single" w:sz="8" w:space="0" w:color="auto"/>
              <w:left w:val="single" w:sz="8" w:space="0" w:color="auto"/>
              <w:bottom w:val="single" w:sz="8" w:space="0" w:color="auto"/>
              <w:right w:val="single" w:sz="8" w:space="0" w:color="auto"/>
            </w:tcBorders>
            <w:vAlign w:val="center"/>
          </w:tcPr>
          <w:p w:rsidR="0088221F" w:rsidRDefault="0088221F">
            <w:pPr>
              <w:widowControl/>
              <w:jc w:val="center"/>
              <w:rPr>
                <w:rFonts w:ascii="Times New Roman" w:eastAsia="仿宋_GB2312" w:hAnsi="Times New Roman"/>
                <w:color w:val="000000"/>
                <w:kern w:val="0"/>
                <w:sz w:val="20"/>
                <w:szCs w:val="20"/>
              </w:rPr>
            </w:pP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非煤矿矿山企业安全生产许可（除中央管理企业外委托下放各区实施）</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安全评价报告（金属非金属矿</w:t>
            </w:r>
            <w:proofErr w:type="gramStart"/>
            <w:r>
              <w:rPr>
                <w:rFonts w:ascii="Times New Roman" w:eastAsia="仿宋_GB2312" w:hAnsi="Times New Roman"/>
                <w:color w:val="000000"/>
                <w:kern w:val="0"/>
                <w:sz w:val="20"/>
                <w:szCs w:val="20"/>
              </w:rPr>
              <w:t>山独立</w:t>
            </w:r>
            <w:proofErr w:type="gramEnd"/>
            <w:r>
              <w:rPr>
                <w:rFonts w:ascii="Times New Roman" w:eastAsia="仿宋_GB2312" w:hAnsi="Times New Roman"/>
                <w:color w:val="000000"/>
                <w:kern w:val="0"/>
                <w:sz w:val="20"/>
                <w:szCs w:val="20"/>
              </w:rPr>
              <w:t>生产系统和尾矿库，以及石油天然气独立生产系统和作业单位）</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《非煤矿矿山企业安全生产许可证实施办法》</w:t>
            </w:r>
          </w:p>
        </w:tc>
      </w:tr>
      <w:tr w:rsidR="0088221F">
        <w:trPr>
          <w:trHeight w:val="1399"/>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27</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highlight w:val="yellow"/>
              </w:rPr>
            </w:pPr>
            <w:r>
              <w:rPr>
                <w:rFonts w:ascii="Times New Roman" w:eastAsia="仿宋_GB2312" w:hAnsi="Times New Roman"/>
                <w:color w:val="000000"/>
                <w:kern w:val="0"/>
                <w:sz w:val="20"/>
                <w:szCs w:val="20"/>
              </w:rPr>
              <w:t>市应急管理局</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危险化学品使用许可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《危险化学品安全使用许可证实施办法》</w:t>
            </w:r>
          </w:p>
        </w:tc>
      </w:tr>
      <w:tr w:rsidR="0088221F">
        <w:trPr>
          <w:trHeight w:val="1399"/>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28</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区行政</w:t>
            </w:r>
            <w:proofErr w:type="gramStart"/>
            <w:r>
              <w:rPr>
                <w:rFonts w:ascii="Times New Roman" w:eastAsia="仿宋_GB2312" w:hAnsi="Times New Roman"/>
                <w:color w:val="000000"/>
                <w:kern w:val="0"/>
                <w:sz w:val="20"/>
                <w:szCs w:val="20"/>
              </w:rPr>
              <w:t>审批局</w:t>
            </w:r>
            <w:proofErr w:type="gramEnd"/>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危险化学品经营许可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88221F">
            <w:pPr>
              <w:widowControl/>
              <w:jc w:val="center"/>
              <w:rPr>
                <w:rFonts w:ascii="Times New Roman" w:eastAsia="仿宋_GB2312" w:hAnsi="Times New Roman"/>
                <w:color w:val="000000"/>
                <w:kern w:val="0"/>
                <w:sz w:val="20"/>
                <w:szCs w:val="20"/>
              </w:rPr>
            </w:pP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安全评价报告（带有储存设施经营的企业）</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《危险化学品经营许可证管理办法》</w:t>
            </w:r>
          </w:p>
        </w:tc>
      </w:tr>
      <w:tr w:rsidR="0088221F">
        <w:trPr>
          <w:trHeight w:val="1399"/>
        </w:trPr>
        <w:tc>
          <w:tcPr>
            <w:tcW w:w="172" w:type="pct"/>
            <w:tcBorders>
              <w:top w:val="single" w:sz="8" w:space="0" w:color="auto"/>
              <w:left w:val="single" w:sz="8" w:space="0" w:color="auto"/>
              <w:bottom w:val="single" w:sz="8" w:space="0" w:color="auto"/>
              <w:right w:val="single" w:sz="8"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lastRenderedPageBreak/>
              <w:t>29</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市城市管理委</w:t>
            </w:r>
          </w:p>
        </w:tc>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滨海新区区行政</w:t>
            </w:r>
            <w:proofErr w:type="gramStart"/>
            <w:r>
              <w:rPr>
                <w:rFonts w:ascii="Times New Roman" w:eastAsia="仿宋_GB2312" w:hAnsi="Times New Roman"/>
                <w:color w:val="000000"/>
                <w:kern w:val="0"/>
                <w:sz w:val="20"/>
                <w:szCs w:val="20"/>
              </w:rPr>
              <w:t>审批局</w:t>
            </w:r>
            <w:proofErr w:type="gramEnd"/>
            <w:r>
              <w:rPr>
                <w:rFonts w:ascii="Times New Roman" w:eastAsia="仿宋_GB2312" w:hAnsi="Times New Roman"/>
                <w:color w:val="000000"/>
                <w:kern w:val="0"/>
                <w:sz w:val="20"/>
                <w:szCs w:val="20"/>
              </w:rPr>
              <w:t xml:space="preserve">   </w:t>
            </w:r>
            <w:r>
              <w:rPr>
                <w:rFonts w:ascii="Times New Roman" w:eastAsia="仿宋_GB2312" w:hAnsi="Times New Roman"/>
                <w:color w:val="000000"/>
                <w:kern w:val="0"/>
                <w:sz w:val="20"/>
                <w:szCs w:val="20"/>
              </w:rPr>
              <w:t>（市级委托下放）</w:t>
            </w: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燃气经营许可</w:t>
            </w:r>
          </w:p>
        </w:tc>
        <w:tc>
          <w:tcPr>
            <w:tcW w:w="936"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燃气经营企业设立、变更、注销及歇业许可</w:t>
            </w:r>
          </w:p>
        </w:tc>
        <w:tc>
          <w:tcPr>
            <w:tcW w:w="82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安全评价机构出具的燃气设施达到安全运行要求的安全评价报告</w:t>
            </w:r>
          </w:p>
        </w:tc>
        <w:tc>
          <w:tcPr>
            <w:tcW w:w="53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安全评价机构</w:t>
            </w:r>
          </w:p>
        </w:tc>
        <w:tc>
          <w:tcPr>
            <w:tcW w:w="513"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市应急管理局</w:t>
            </w:r>
          </w:p>
        </w:tc>
        <w:tc>
          <w:tcPr>
            <w:tcW w:w="755" w:type="pct"/>
            <w:tcBorders>
              <w:top w:val="single" w:sz="8" w:space="0" w:color="auto"/>
              <w:left w:val="single" w:sz="8" w:space="0" w:color="auto"/>
              <w:bottom w:val="single" w:sz="8" w:space="0" w:color="auto"/>
              <w:right w:val="single" w:sz="8" w:space="0" w:color="auto"/>
            </w:tcBorders>
            <w:shd w:val="clear" w:color="auto" w:fill="FFFFFF"/>
            <w:vAlign w:val="center"/>
          </w:tcPr>
          <w:p w:rsidR="0088221F" w:rsidRDefault="00EE1A42">
            <w:pPr>
              <w:widowControl/>
              <w:jc w:val="center"/>
              <w:rPr>
                <w:rFonts w:ascii="Times New Roman" w:eastAsia="仿宋_GB2312" w:hAnsi="Times New Roman"/>
                <w:kern w:val="0"/>
                <w:sz w:val="20"/>
                <w:szCs w:val="20"/>
              </w:rPr>
            </w:pPr>
            <w:r>
              <w:rPr>
                <w:rFonts w:ascii="Times New Roman" w:eastAsia="仿宋_GB2312" w:hAnsi="Times New Roman"/>
                <w:kern w:val="0"/>
                <w:sz w:val="20"/>
                <w:szCs w:val="20"/>
              </w:rPr>
              <w:t>《天津市燃气管理条例》</w:t>
            </w:r>
          </w:p>
        </w:tc>
      </w:tr>
    </w:tbl>
    <w:p w:rsidR="0088221F" w:rsidRDefault="0088221F">
      <w:pPr>
        <w:widowControl/>
        <w:jc w:val="left"/>
        <w:rPr>
          <w:rFonts w:ascii="Times New Roman" w:eastAsia="仿宋_GB2312" w:hAnsi="Times New Roman"/>
          <w:sz w:val="32"/>
          <w:szCs w:val="32"/>
        </w:rPr>
        <w:sectPr w:rsidR="0088221F">
          <w:pgSz w:w="16838" w:h="11906" w:orient="landscape"/>
          <w:pgMar w:top="1474" w:right="1985" w:bottom="1588" w:left="2098" w:header="851" w:footer="992" w:gutter="0"/>
          <w:cols w:space="720"/>
          <w:docGrid w:type="lines" w:linePitch="312"/>
        </w:sectPr>
      </w:pPr>
    </w:p>
    <w:tbl>
      <w:tblPr>
        <w:tblW w:w="13467" w:type="dxa"/>
        <w:tblInd w:w="-318" w:type="dxa"/>
        <w:tblLook w:val="04A0" w:firstRow="1" w:lastRow="0" w:firstColumn="1" w:lastColumn="0" w:noHBand="0" w:noVBand="1"/>
      </w:tblPr>
      <w:tblGrid>
        <w:gridCol w:w="13467"/>
      </w:tblGrid>
      <w:tr w:rsidR="0088221F">
        <w:trPr>
          <w:trHeight w:val="1399"/>
        </w:trPr>
        <w:tc>
          <w:tcPr>
            <w:tcW w:w="13467" w:type="dxa"/>
            <w:vAlign w:val="center"/>
          </w:tcPr>
          <w:p w:rsidR="0088221F" w:rsidRDefault="00EE1A42">
            <w:pPr>
              <w:widowControl/>
              <w:jc w:val="left"/>
              <w:rPr>
                <w:rFonts w:ascii="Times New Roman" w:eastAsia="黑体" w:hAnsi="Times New Roman"/>
                <w:color w:val="000000"/>
                <w:kern w:val="0"/>
                <w:sz w:val="44"/>
                <w:szCs w:val="44"/>
              </w:rPr>
            </w:pPr>
            <w:r>
              <w:rPr>
                <w:rFonts w:ascii="Times New Roman" w:eastAsia="黑体" w:hAnsi="Times New Roman"/>
                <w:color w:val="000000"/>
                <w:kern w:val="0"/>
                <w:sz w:val="32"/>
                <w:szCs w:val="32"/>
                <w:lang w:bidi="ar"/>
              </w:rPr>
              <w:lastRenderedPageBreak/>
              <w:t>附件</w:t>
            </w:r>
            <w:r>
              <w:rPr>
                <w:rFonts w:ascii="Times New Roman" w:eastAsia="黑体" w:hAnsi="Times New Roman"/>
                <w:color w:val="000000"/>
                <w:kern w:val="0"/>
                <w:sz w:val="32"/>
                <w:szCs w:val="32"/>
                <w:lang w:bidi="ar"/>
              </w:rPr>
              <w:t>2</w:t>
            </w:r>
          </w:p>
          <w:p w:rsidR="0088221F" w:rsidRDefault="00EE1A42">
            <w:pPr>
              <w:widowControl/>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取消的行政许可中介要件目录</w:t>
            </w:r>
          </w:p>
        </w:tc>
      </w:tr>
    </w:tbl>
    <w:p w:rsidR="0088221F" w:rsidRDefault="0088221F">
      <w:pPr>
        <w:rPr>
          <w:rFonts w:ascii="Times New Roman" w:hAnsi="Times New Roman"/>
        </w:rPr>
      </w:pPr>
    </w:p>
    <w:tbl>
      <w:tblPr>
        <w:tblW w:w="0" w:type="auto"/>
        <w:jc w:val="center"/>
        <w:tblLook w:val="04A0" w:firstRow="1" w:lastRow="0" w:firstColumn="1" w:lastColumn="0" w:noHBand="0" w:noVBand="1"/>
      </w:tblPr>
      <w:tblGrid>
        <w:gridCol w:w="621"/>
        <w:gridCol w:w="2268"/>
        <w:gridCol w:w="2410"/>
        <w:gridCol w:w="2693"/>
        <w:gridCol w:w="2738"/>
        <w:gridCol w:w="1849"/>
      </w:tblGrid>
      <w:tr w:rsidR="0088221F">
        <w:trPr>
          <w:trHeight w:val="1243"/>
          <w:tblHeader/>
          <w:jc w:val="center"/>
        </w:trPr>
        <w:tc>
          <w:tcPr>
            <w:tcW w:w="621" w:type="dxa"/>
            <w:tcBorders>
              <w:top w:val="single" w:sz="4" w:space="0" w:color="auto"/>
              <w:left w:val="single" w:sz="4" w:space="0" w:color="auto"/>
              <w:bottom w:val="single" w:sz="4" w:space="0" w:color="auto"/>
              <w:right w:val="single" w:sz="4"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序号</w:t>
            </w:r>
          </w:p>
        </w:tc>
        <w:tc>
          <w:tcPr>
            <w:tcW w:w="2268" w:type="dxa"/>
            <w:tcBorders>
              <w:top w:val="single" w:sz="4" w:space="0" w:color="auto"/>
              <w:left w:val="nil"/>
              <w:bottom w:val="single" w:sz="4" w:space="0" w:color="auto"/>
              <w:right w:val="single" w:sz="4"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市主管部门</w:t>
            </w:r>
            <w:r>
              <w:rPr>
                <w:rFonts w:ascii="Times New Roman" w:eastAsia="黑体" w:hAnsi="Times New Roman"/>
                <w:color w:val="000000"/>
                <w:kern w:val="0"/>
                <w:sz w:val="20"/>
                <w:szCs w:val="20"/>
              </w:rPr>
              <w:br/>
            </w:r>
            <w:r>
              <w:rPr>
                <w:rFonts w:ascii="Times New Roman" w:eastAsia="黑体" w:hAnsi="Times New Roman"/>
                <w:color w:val="000000"/>
                <w:kern w:val="0"/>
                <w:sz w:val="20"/>
                <w:szCs w:val="20"/>
              </w:rPr>
              <w:t>（含市级审批部门）</w:t>
            </w:r>
          </w:p>
        </w:tc>
        <w:tc>
          <w:tcPr>
            <w:tcW w:w="2410" w:type="dxa"/>
            <w:tcBorders>
              <w:top w:val="single" w:sz="4" w:space="0" w:color="auto"/>
              <w:left w:val="nil"/>
              <w:bottom w:val="single" w:sz="4" w:space="0" w:color="auto"/>
              <w:right w:val="single" w:sz="4"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行政许可事项名称</w:t>
            </w:r>
          </w:p>
        </w:tc>
        <w:tc>
          <w:tcPr>
            <w:tcW w:w="2693" w:type="dxa"/>
            <w:tcBorders>
              <w:top w:val="single" w:sz="4" w:space="0" w:color="auto"/>
              <w:left w:val="nil"/>
              <w:bottom w:val="single" w:sz="4" w:space="0" w:color="auto"/>
              <w:right w:val="single" w:sz="4"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子项名称</w:t>
            </w:r>
          </w:p>
        </w:tc>
        <w:tc>
          <w:tcPr>
            <w:tcW w:w="2738" w:type="dxa"/>
            <w:tcBorders>
              <w:top w:val="single" w:sz="4" w:space="0" w:color="auto"/>
              <w:left w:val="nil"/>
              <w:bottom w:val="single" w:sz="4" w:space="0" w:color="auto"/>
              <w:right w:val="single" w:sz="4"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中介要件名称</w:t>
            </w:r>
          </w:p>
        </w:tc>
        <w:tc>
          <w:tcPr>
            <w:tcW w:w="1849" w:type="dxa"/>
            <w:tcBorders>
              <w:top w:val="single" w:sz="4" w:space="0" w:color="auto"/>
              <w:left w:val="nil"/>
              <w:bottom w:val="single" w:sz="4" w:space="0" w:color="auto"/>
              <w:right w:val="single" w:sz="4" w:space="0" w:color="auto"/>
            </w:tcBorders>
            <w:vAlign w:val="center"/>
          </w:tcPr>
          <w:p w:rsidR="0088221F" w:rsidRDefault="00EE1A42">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处理方式</w:t>
            </w:r>
          </w:p>
        </w:tc>
      </w:tr>
      <w:tr w:rsidR="0088221F">
        <w:trPr>
          <w:trHeight w:val="1672"/>
          <w:jc w:val="center"/>
        </w:trPr>
        <w:tc>
          <w:tcPr>
            <w:tcW w:w="621" w:type="dxa"/>
            <w:tcBorders>
              <w:top w:val="nil"/>
              <w:left w:val="single" w:sz="4" w:space="0" w:color="auto"/>
              <w:bottom w:val="single" w:sz="4" w:space="0" w:color="auto"/>
              <w:right w:val="single" w:sz="4"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w:t>
            </w:r>
          </w:p>
        </w:tc>
        <w:tc>
          <w:tcPr>
            <w:tcW w:w="2268" w:type="dxa"/>
            <w:tcBorders>
              <w:top w:val="nil"/>
              <w:left w:val="single" w:sz="4" w:space="0" w:color="auto"/>
              <w:bottom w:val="single" w:sz="4" w:space="0" w:color="auto"/>
              <w:right w:val="single" w:sz="4"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市农业农村委</w:t>
            </w:r>
          </w:p>
        </w:tc>
        <w:tc>
          <w:tcPr>
            <w:tcW w:w="2410" w:type="dxa"/>
            <w:tcBorders>
              <w:top w:val="nil"/>
              <w:left w:val="single" w:sz="4" w:space="0" w:color="auto"/>
              <w:bottom w:val="single" w:sz="4" w:space="0" w:color="auto"/>
              <w:right w:val="single" w:sz="4" w:space="0" w:color="auto"/>
            </w:tcBorders>
            <w:shd w:val="clear" w:color="auto" w:fill="FFFFFF"/>
            <w:vAlign w:val="center"/>
          </w:tcPr>
          <w:p w:rsidR="0088221F" w:rsidRDefault="00EE1A42">
            <w:pPr>
              <w:widowControl/>
              <w:jc w:val="lef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肥料登记（包括配方肥、有机</w:t>
            </w:r>
            <w:r>
              <w:rPr>
                <w:rFonts w:ascii="Times New Roman" w:eastAsia="仿宋_GB2312" w:hAnsi="Times New Roman"/>
                <w:color w:val="000000"/>
                <w:kern w:val="0"/>
                <w:sz w:val="20"/>
                <w:szCs w:val="20"/>
              </w:rPr>
              <w:t>-</w:t>
            </w:r>
            <w:r>
              <w:rPr>
                <w:rFonts w:ascii="Times New Roman" w:eastAsia="仿宋_GB2312" w:hAnsi="Times New Roman"/>
                <w:color w:val="000000"/>
                <w:kern w:val="0"/>
                <w:sz w:val="20"/>
                <w:szCs w:val="20"/>
              </w:rPr>
              <w:t>无机复混肥料、有机肥料、床土调酸剂）</w:t>
            </w:r>
          </w:p>
        </w:tc>
        <w:tc>
          <w:tcPr>
            <w:tcW w:w="2693" w:type="dxa"/>
            <w:tcBorders>
              <w:top w:val="nil"/>
              <w:left w:val="single" w:sz="4" w:space="0" w:color="auto"/>
              <w:bottom w:val="single" w:sz="4" w:space="0" w:color="auto"/>
              <w:right w:val="single" w:sz="4" w:space="0" w:color="auto"/>
            </w:tcBorders>
            <w:shd w:val="clear" w:color="auto" w:fill="FFFFFF"/>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正式登记（增加含量）</w:t>
            </w:r>
          </w:p>
        </w:tc>
        <w:tc>
          <w:tcPr>
            <w:tcW w:w="2738" w:type="dxa"/>
            <w:tcBorders>
              <w:top w:val="single" w:sz="4" w:space="0" w:color="auto"/>
              <w:left w:val="nil"/>
              <w:bottom w:val="single" w:sz="4" w:space="0" w:color="auto"/>
              <w:right w:val="single" w:sz="4"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产品检验报告</w:t>
            </w:r>
          </w:p>
        </w:tc>
        <w:tc>
          <w:tcPr>
            <w:tcW w:w="1849" w:type="dxa"/>
            <w:tcBorders>
              <w:top w:val="nil"/>
              <w:left w:val="nil"/>
              <w:bottom w:val="single" w:sz="4" w:space="0" w:color="auto"/>
              <w:right w:val="single" w:sz="4" w:space="0" w:color="auto"/>
            </w:tcBorders>
            <w:vAlign w:val="center"/>
          </w:tcPr>
          <w:p w:rsidR="0088221F" w:rsidRDefault="00EE1A42">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直接取消</w:t>
            </w:r>
          </w:p>
        </w:tc>
      </w:tr>
    </w:tbl>
    <w:p w:rsidR="0088221F" w:rsidRDefault="0088221F">
      <w:pPr>
        <w:widowControl/>
        <w:jc w:val="left"/>
        <w:rPr>
          <w:rFonts w:ascii="Times New Roman" w:eastAsia="仿宋_GB2312" w:hAnsi="Times New Roman"/>
          <w:sz w:val="32"/>
          <w:szCs w:val="32"/>
        </w:rPr>
      </w:pPr>
    </w:p>
    <w:p w:rsidR="0088221F" w:rsidRDefault="0088221F">
      <w:pPr>
        <w:widowControl/>
        <w:jc w:val="left"/>
        <w:rPr>
          <w:rFonts w:ascii="Times New Roman" w:eastAsia="仿宋_GB2312" w:hAnsi="Times New Roman"/>
          <w:sz w:val="32"/>
          <w:szCs w:val="32"/>
        </w:rPr>
      </w:pPr>
    </w:p>
    <w:p w:rsidR="0088221F" w:rsidRDefault="0088221F">
      <w:pPr>
        <w:widowControl/>
        <w:jc w:val="left"/>
        <w:rPr>
          <w:rFonts w:ascii="Times New Roman" w:eastAsia="仿宋_GB2312" w:hAnsi="Times New Roman"/>
          <w:sz w:val="32"/>
          <w:szCs w:val="32"/>
        </w:rPr>
      </w:pPr>
    </w:p>
    <w:p w:rsidR="0088221F" w:rsidRDefault="0088221F">
      <w:pPr>
        <w:widowControl/>
        <w:jc w:val="left"/>
        <w:rPr>
          <w:rFonts w:ascii="Times New Roman" w:eastAsia="仿宋_GB2312" w:hAnsi="Times New Roman"/>
          <w:sz w:val="32"/>
          <w:szCs w:val="32"/>
        </w:rPr>
      </w:pPr>
    </w:p>
    <w:p w:rsidR="0088221F" w:rsidRDefault="0088221F">
      <w:pPr>
        <w:widowControl/>
        <w:jc w:val="left"/>
        <w:rPr>
          <w:rFonts w:ascii="Times New Roman" w:eastAsia="仿宋_GB2312" w:hAnsi="Times New Roman"/>
          <w:sz w:val="32"/>
          <w:szCs w:val="32"/>
        </w:rPr>
      </w:pPr>
    </w:p>
    <w:p w:rsidR="0088221F" w:rsidRDefault="0088221F">
      <w:pPr>
        <w:widowControl/>
        <w:jc w:val="left"/>
        <w:rPr>
          <w:rFonts w:ascii="Times New Roman" w:eastAsia="仿宋_GB2312" w:hAnsi="Times New Roman"/>
          <w:sz w:val="32"/>
          <w:szCs w:val="32"/>
        </w:rPr>
      </w:pPr>
    </w:p>
    <w:p w:rsidR="0088221F" w:rsidRDefault="0088221F">
      <w:pPr>
        <w:widowControl/>
        <w:jc w:val="left"/>
        <w:rPr>
          <w:rFonts w:ascii="Times New Roman" w:eastAsia="仿宋_GB2312" w:hAnsi="Times New Roman"/>
          <w:sz w:val="32"/>
          <w:szCs w:val="32"/>
        </w:rPr>
        <w:sectPr w:rsidR="0088221F">
          <w:pgSz w:w="16838" w:h="11906" w:orient="landscape"/>
          <w:pgMar w:top="1474" w:right="1985" w:bottom="1985" w:left="2098" w:header="851" w:footer="992" w:gutter="0"/>
          <w:cols w:space="720"/>
          <w:docGrid w:type="lines" w:linePitch="312"/>
        </w:sect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spacing w:line="600" w:lineRule="exact"/>
        <w:rPr>
          <w:rFonts w:ascii="Times New Roman" w:eastAsia="仿宋_GB2312" w:hAnsi="Times New Roman"/>
          <w:color w:val="000000" w:themeColor="text1"/>
          <w:sz w:val="32"/>
          <w:szCs w:val="32"/>
        </w:rPr>
      </w:pPr>
    </w:p>
    <w:p w:rsidR="0088221F" w:rsidRDefault="0088221F">
      <w:pPr>
        <w:adjustRightInd w:val="0"/>
        <w:snapToGrid w:val="0"/>
        <w:spacing w:line="560" w:lineRule="exact"/>
        <w:rPr>
          <w:rFonts w:ascii="Times New Roman" w:eastAsia="仿宋_GB2312" w:hAnsi="Times New Roman"/>
          <w:color w:val="000000" w:themeColor="text1"/>
          <w:sz w:val="32"/>
          <w:szCs w:val="32"/>
        </w:rPr>
      </w:pPr>
    </w:p>
    <w:p w:rsidR="0088221F" w:rsidRDefault="0088221F">
      <w:pPr>
        <w:adjustRightInd w:val="0"/>
        <w:snapToGrid w:val="0"/>
        <w:spacing w:line="560" w:lineRule="exact"/>
        <w:rPr>
          <w:rFonts w:ascii="Times New Roman" w:eastAsia="仿宋_GB2312" w:hAnsi="Times New Roman"/>
          <w:color w:val="000000" w:themeColor="text1"/>
          <w:sz w:val="32"/>
          <w:szCs w:val="32"/>
        </w:rPr>
      </w:pPr>
    </w:p>
    <w:p w:rsidR="0088221F" w:rsidRDefault="0088221F">
      <w:pPr>
        <w:adjustRightInd w:val="0"/>
        <w:snapToGrid w:val="0"/>
        <w:spacing w:line="560" w:lineRule="exact"/>
        <w:rPr>
          <w:rFonts w:ascii="Times New Roman" w:eastAsia="仿宋_GB2312" w:hAnsi="Times New Roman"/>
          <w:color w:val="000000" w:themeColor="text1"/>
          <w:sz w:val="32"/>
          <w:szCs w:val="32"/>
        </w:rPr>
      </w:pPr>
    </w:p>
    <w:p w:rsidR="0088221F" w:rsidRDefault="0088221F">
      <w:pPr>
        <w:adjustRightInd w:val="0"/>
        <w:snapToGrid w:val="0"/>
        <w:spacing w:line="560" w:lineRule="exact"/>
        <w:rPr>
          <w:rFonts w:ascii="仿宋_GB2312" w:eastAsia="仿宋_GB2312" w:hAnsi="Times New Roman"/>
          <w:spacing w:val="-10"/>
          <w:sz w:val="28"/>
          <w:szCs w:val="28"/>
        </w:rPr>
      </w:pPr>
    </w:p>
    <w:p w:rsidR="0088221F" w:rsidRDefault="00EE1A42" w:rsidP="00AE44D3">
      <w:pPr>
        <w:adjustRightInd w:val="0"/>
        <w:snapToGrid w:val="0"/>
        <w:spacing w:line="579" w:lineRule="atLeast"/>
        <w:ind w:firstLineChars="50" w:firstLine="140"/>
      </w:pPr>
      <w:r>
        <w:rPr>
          <w:rFonts w:ascii="仿宋_GB2312" w:eastAsia="仿宋_GB2312" w:hAnsi="Times New Roman"/>
          <w:noProof/>
          <w:spacing w:val="-10"/>
          <w:sz w:val="28"/>
          <w:szCs w:val="28"/>
        </w:rPr>
        <mc:AlternateContent>
          <mc:Choice Requires="wps">
            <w:drawing>
              <wp:anchor distT="0" distB="0" distL="114300" distR="114300" simplePos="0" relativeHeight="251661312" behindDoc="0" locked="0" layoutInCell="1" allowOverlap="1" wp14:anchorId="386B2A47" wp14:editId="0241BC90">
                <wp:simplePos x="0" y="0"/>
                <wp:positionH relativeFrom="column">
                  <wp:posOffset>0</wp:posOffset>
                </wp:positionH>
                <wp:positionV relativeFrom="paragraph">
                  <wp:posOffset>26670</wp:posOffset>
                </wp:positionV>
                <wp:extent cx="56007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2.1pt;height:0pt;width:441pt;z-index:251661312;mso-width-relative:page;mso-height-relative:page;" filled="f" stroked="t" coordsize="21600,21600" o:gfxdata="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D7wyrbRAAAABAEAAA8AAAAAAAAA&#10;AQAgAAAAOAAAAGRycy9kb3ducmV2LnhtbFBLAQIUABQAAAAIAIdO4kDnFkWayQEAAF0DAAAOAAAA&#10;AAAAAAEAIAAAADYBAABkcnMvZTJvRG9jLnhtbFBLBQYAAAAABgAGAFkBAABxBQAAAAA=&#10;">
                <v:fill on="f" focussize="0,0"/>
                <v:stroke weight="1.5pt" color="#000000" joinstyle="round"/>
                <v:imagedata o:title=""/>
                <o:lock v:ext="edit" aspectratio="f"/>
              </v:line>
            </w:pict>
          </mc:Fallback>
        </mc:AlternateContent>
      </w:r>
      <w:r>
        <w:rPr>
          <w:rFonts w:ascii="仿宋_GB2312" w:eastAsia="仿宋_GB2312" w:hAnsi="Times New Roman" w:hint="eastAsia"/>
          <w:spacing w:val="-34"/>
          <w:sz w:val="28"/>
          <w:szCs w:val="28"/>
        </w:rPr>
        <w:t>天津市人民政府推进政府职能转变和</w:t>
      </w:r>
      <w:r>
        <w:rPr>
          <w:rFonts w:ascii="Times New Roman" w:eastAsia="仿宋_GB2312" w:hAnsi="Times New Roman"/>
          <w:spacing w:val="-34"/>
          <w:sz w:val="28"/>
          <w:szCs w:val="28"/>
        </w:rPr>
        <w:t>“</w:t>
      </w:r>
      <w:r>
        <w:rPr>
          <w:rFonts w:ascii="仿宋_GB2312" w:eastAsia="仿宋_GB2312" w:hAnsi="Times New Roman" w:hint="eastAsia"/>
          <w:spacing w:val="-34"/>
          <w:sz w:val="28"/>
          <w:szCs w:val="28"/>
        </w:rPr>
        <w:t>放管服</w:t>
      </w:r>
      <w:r>
        <w:rPr>
          <w:rFonts w:ascii="Times New Roman" w:eastAsia="仿宋_GB2312" w:hAnsi="Times New Roman"/>
          <w:spacing w:val="-34"/>
          <w:sz w:val="28"/>
          <w:szCs w:val="28"/>
        </w:rPr>
        <w:t>”</w:t>
      </w:r>
      <w:r>
        <w:rPr>
          <w:rFonts w:ascii="仿宋_GB2312" w:eastAsia="仿宋_GB2312" w:hAnsi="Times New Roman" w:hint="eastAsia"/>
          <w:spacing w:val="-34"/>
          <w:sz w:val="28"/>
          <w:szCs w:val="28"/>
        </w:rPr>
        <w:t xml:space="preserve">改革协调小组办公室 </w:t>
      </w:r>
      <w:r>
        <w:rPr>
          <w:rFonts w:ascii="Times New Roman" w:eastAsia="仿宋_GB2312" w:hAnsi="Times New Roman"/>
          <w:spacing w:val="-10"/>
          <w:sz w:val="28"/>
          <w:szCs w:val="28"/>
        </w:rPr>
        <w:t xml:space="preserve">  </w:t>
      </w:r>
      <w:r>
        <w:rPr>
          <w:rFonts w:ascii="Times New Roman" w:eastAsia="仿宋_GB2312" w:hAnsi="Times New Roman"/>
          <w:spacing w:val="-28"/>
          <w:sz w:val="28"/>
          <w:szCs w:val="28"/>
        </w:rPr>
        <w:t>2021</w:t>
      </w:r>
      <w:r>
        <w:rPr>
          <w:rFonts w:ascii="Times New Roman" w:eastAsia="仿宋_GB2312" w:hAnsi="Times New Roman"/>
          <w:spacing w:val="-28"/>
          <w:sz w:val="28"/>
          <w:szCs w:val="28"/>
        </w:rPr>
        <w:t>年</w:t>
      </w:r>
      <w:r>
        <w:rPr>
          <w:rFonts w:ascii="Times New Roman" w:eastAsia="仿宋_GB2312" w:hAnsi="Times New Roman"/>
          <w:spacing w:val="-28"/>
          <w:sz w:val="28"/>
          <w:szCs w:val="28"/>
        </w:rPr>
        <w:t>8</w:t>
      </w:r>
      <w:r>
        <w:rPr>
          <w:rFonts w:ascii="Symbol" w:eastAsia="仿宋_GB2312" w:hAnsi="Symbol" w:cs="Symbol"/>
          <w:spacing w:val="-28"/>
          <w:sz w:val="28"/>
          <w:szCs w:val="28"/>
        </w:rPr>
        <w:t>月</w:t>
      </w:r>
      <w:r w:rsidR="00265C8C">
        <w:rPr>
          <w:rFonts w:ascii="Times New Roman" w:eastAsia="楷体_GB2312" w:hAnsi="Times New Roman" w:hint="eastAsia"/>
          <w:spacing w:val="-28"/>
          <w:sz w:val="28"/>
          <w:szCs w:val="28"/>
        </w:rPr>
        <w:t>19</w:t>
      </w:r>
      <w:r>
        <w:rPr>
          <w:rFonts w:ascii="仿宋_GB2312" w:eastAsia="仿宋_GB2312" w:hAnsi="Times New Roman" w:hint="eastAsia"/>
          <w:spacing w:val="-28"/>
          <w:sz w:val="28"/>
          <w:szCs w:val="28"/>
        </w:rPr>
        <w:t>日印发</w:t>
      </w:r>
      <w:r>
        <w:rPr>
          <w:rFonts w:ascii="仿宋_GB2312" w:eastAsia="仿宋_GB2312" w:hAnsi="Times New Roman"/>
          <w:noProof/>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1.2pt;height:0pt;width:441pt;z-index:251660288;mso-width-relative:page;mso-height-relative:page;" filled="f" stroked="t" coordsize="21600,21600" o:gfxdata="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l9bO/0gAAAAYBAAAPAAAAAAAA&#10;AAEAIAAAADgAAABkcnMvZG93bnJldi54bWxQSwECFAAUAAAACACHTuJAXA2G0skBAABdAwAADgAA&#10;AAAAAAABACAAAAA3AQAAZHJzL2Uyb0RvYy54bWxQSwUGAAAAAAYABgBZAQAAcgUAAAAA&#10;">
                <v:fill on="f" focussize="0,0"/>
                <v:stroke weight="1.5pt" color="#000000" joinstyle="round"/>
                <v:imagedata o:title=""/>
                <o:lock v:ext="edit" aspectratio="f"/>
              </v:line>
            </w:pict>
          </mc:Fallback>
        </mc:AlternateContent>
      </w:r>
    </w:p>
    <w:sectPr w:rsidR="0088221F">
      <w:footerReference w:type="even" r:id="rId10"/>
      <w:footerReference w:type="default" r:id="rId11"/>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25" w:rsidRDefault="00273525">
      <w:r>
        <w:separator/>
      </w:r>
    </w:p>
  </w:endnote>
  <w:endnote w:type="continuationSeparator" w:id="0">
    <w:p w:rsidR="00273525" w:rsidRDefault="0027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1F" w:rsidRDefault="00EE1A42" w:rsidP="00AE44D3">
    <w:pPr>
      <w:pStyle w:val="a4"/>
      <w:ind w:firstLineChars="71" w:firstLine="199"/>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82016" w:rsidRPr="00782016">
      <w:rPr>
        <w:rFonts w:ascii="Times New Roman" w:hAnsi="Times New Roman"/>
        <w:noProof/>
        <w:sz w:val="28"/>
        <w:szCs w:val="28"/>
        <w:lang w:val="zh-CN"/>
      </w:rPr>
      <w:t>20</w:t>
    </w:r>
    <w:r>
      <w:rPr>
        <w:rFonts w:ascii="宋体" w:hAnsi="宋体"/>
        <w:sz w:val="28"/>
        <w:szCs w:val="28"/>
      </w:rPr>
      <w:fldChar w:fldCharType="end"/>
    </w:r>
    <w:r>
      <w:rPr>
        <w:rFonts w:ascii="宋体" w:hAnsi="宋体" w:hint="eastAsia"/>
        <w:sz w:val="28"/>
        <w:szCs w:val="28"/>
      </w:rPr>
      <w:t xml:space="preserve"> —</w:t>
    </w:r>
  </w:p>
  <w:p w:rsidR="0088221F" w:rsidRDefault="008822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1F" w:rsidRDefault="00EE1A42" w:rsidP="00AE44D3">
    <w:pPr>
      <w:pStyle w:val="a4"/>
      <w:ind w:firstLineChars="71" w:firstLine="199"/>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82016" w:rsidRPr="00782016">
      <w:rPr>
        <w:rFonts w:ascii="Times New Roman" w:hAnsi="Times New Roman"/>
        <w:noProof/>
        <w:sz w:val="28"/>
        <w:szCs w:val="28"/>
        <w:lang w:val="zh-CN"/>
      </w:rPr>
      <w:t>19</w:t>
    </w:r>
    <w:r>
      <w:rPr>
        <w:rFonts w:ascii="宋体" w:hAnsi="宋体"/>
        <w:sz w:val="28"/>
        <w:szCs w:val="28"/>
      </w:rPr>
      <w:fldChar w:fldCharType="end"/>
    </w:r>
    <w:r>
      <w:rPr>
        <w:rFonts w:ascii="宋体" w:hAnsi="宋体" w:hint="eastAsia"/>
        <w:sz w:val="28"/>
        <w:szCs w:val="28"/>
      </w:rPr>
      <w:t xml:space="preserve"> —</w:t>
    </w:r>
  </w:p>
  <w:p w:rsidR="0088221F" w:rsidRDefault="0088221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1F" w:rsidRDefault="00EE1A42">
    <w:pPr>
      <w:pStyle w:val="a4"/>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1F" w:rsidRDefault="0088221F">
    <w:pPr>
      <w:pStyle w:val="a4"/>
      <w:wordWrap w:val="0"/>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25" w:rsidRDefault="00273525">
      <w:r>
        <w:separator/>
      </w:r>
    </w:p>
  </w:footnote>
  <w:footnote w:type="continuationSeparator" w:id="0">
    <w:p w:rsidR="00273525" w:rsidRDefault="0027352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荣强">
    <w15:presenceInfo w15:providerId="None" w15:userId="李荣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93"/>
    <w:rsid w:val="A3450443"/>
    <w:rsid w:val="AB571B2B"/>
    <w:rsid w:val="DB17AE8B"/>
    <w:rsid w:val="DFFB560A"/>
    <w:rsid w:val="EFEF33A4"/>
    <w:rsid w:val="FBCFEEAB"/>
    <w:rsid w:val="FBFFBA4E"/>
    <w:rsid w:val="FF5F4A22"/>
    <w:rsid w:val="FFB5260B"/>
    <w:rsid w:val="FFFFC070"/>
    <w:rsid w:val="0001379B"/>
    <w:rsid w:val="000150A4"/>
    <w:rsid w:val="000151A2"/>
    <w:rsid w:val="00025346"/>
    <w:rsid w:val="000316FF"/>
    <w:rsid w:val="000328F7"/>
    <w:rsid w:val="00034942"/>
    <w:rsid w:val="00040A72"/>
    <w:rsid w:val="0004287D"/>
    <w:rsid w:val="00046DB0"/>
    <w:rsid w:val="00051E7F"/>
    <w:rsid w:val="00053128"/>
    <w:rsid w:val="000722B2"/>
    <w:rsid w:val="0008076A"/>
    <w:rsid w:val="0008684B"/>
    <w:rsid w:val="00090285"/>
    <w:rsid w:val="00092223"/>
    <w:rsid w:val="00092323"/>
    <w:rsid w:val="00094669"/>
    <w:rsid w:val="00096609"/>
    <w:rsid w:val="00096DA6"/>
    <w:rsid w:val="000A02A0"/>
    <w:rsid w:val="000A0AD9"/>
    <w:rsid w:val="000A115D"/>
    <w:rsid w:val="000A12D6"/>
    <w:rsid w:val="000A3607"/>
    <w:rsid w:val="000A5762"/>
    <w:rsid w:val="000B3385"/>
    <w:rsid w:val="000B505B"/>
    <w:rsid w:val="000C16AE"/>
    <w:rsid w:val="000C5235"/>
    <w:rsid w:val="000D06D3"/>
    <w:rsid w:val="000D3D25"/>
    <w:rsid w:val="000E1990"/>
    <w:rsid w:val="000E5E40"/>
    <w:rsid w:val="000E712D"/>
    <w:rsid w:val="000F184D"/>
    <w:rsid w:val="000F383E"/>
    <w:rsid w:val="000F4255"/>
    <w:rsid w:val="00107C9F"/>
    <w:rsid w:val="00112EB2"/>
    <w:rsid w:val="0011355E"/>
    <w:rsid w:val="00117CBB"/>
    <w:rsid w:val="001257C4"/>
    <w:rsid w:val="00125839"/>
    <w:rsid w:val="001301A3"/>
    <w:rsid w:val="00134A23"/>
    <w:rsid w:val="001370C1"/>
    <w:rsid w:val="00140E41"/>
    <w:rsid w:val="00147C04"/>
    <w:rsid w:val="0015142A"/>
    <w:rsid w:val="00154250"/>
    <w:rsid w:val="0015539F"/>
    <w:rsid w:val="00161A6B"/>
    <w:rsid w:val="00170AD1"/>
    <w:rsid w:val="00172E95"/>
    <w:rsid w:val="00182888"/>
    <w:rsid w:val="00184A21"/>
    <w:rsid w:val="00186DAC"/>
    <w:rsid w:val="00193F4C"/>
    <w:rsid w:val="00197C8C"/>
    <w:rsid w:val="00197F7E"/>
    <w:rsid w:val="001A23F5"/>
    <w:rsid w:val="001B7A69"/>
    <w:rsid w:val="001C54E3"/>
    <w:rsid w:val="001C59E4"/>
    <w:rsid w:val="001C66F1"/>
    <w:rsid w:val="001C7EB6"/>
    <w:rsid w:val="001E0C1B"/>
    <w:rsid w:val="001E14DF"/>
    <w:rsid w:val="001E606A"/>
    <w:rsid w:val="001F2045"/>
    <w:rsid w:val="001F5C8A"/>
    <w:rsid w:val="001F6E81"/>
    <w:rsid w:val="0020015D"/>
    <w:rsid w:val="0020628E"/>
    <w:rsid w:val="0021073F"/>
    <w:rsid w:val="00226DFC"/>
    <w:rsid w:val="00227410"/>
    <w:rsid w:val="002321EC"/>
    <w:rsid w:val="0023282C"/>
    <w:rsid w:val="00234DDE"/>
    <w:rsid w:val="0023650A"/>
    <w:rsid w:val="00236CF7"/>
    <w:rsid w:val="00240BA9"/>
    <w:rsid w:val="0024651E"/>
    <w:rsid w:val="00250738"/>
    <w:rsid w:val="002507A4"/>
    <w:rsid w:val="0025551D"/>
    <w:rsid w:val="0026377D"/>
    <w:rsid w:val="00265C8C"/>
    <w:rsid w:val="00271FBC"/>
    <w:rsid w:val="002729F3"/>
    <w:rsid w:val="00273525"/>
    <w:rsid w:val="002755E2"/>
    <w:rsid w:val="00280714"/>
    <w:rsid w:val="00284524"/>
    <w:rsid w:val="002864C2"/>
    <w:rsid w:val="00287A82"/>
    <w:rsid w:val="00291582"/>
    <w:rsid w:val="002958CE"/>
    <w:rsid w:val="002A5087"/>
    <w:rsid w:val="002B25F3"/>
    <w:rsid w:val="002B5083"/>
    <w:rsid w:val="002B6E23"/>
    <w:rsid w:val="002C198C"/>
    <w:rsid w:val="002C467B"/>
    <w:rsid w:val="002C774A"/>
    <w:rsid w:val="002D1EED"/>
    <w:rsid w:val="002D3AD6"/>
    <w:rsid w:val="002D4376"/>
    <w:rsid w:val="002D4B51"/>
    <w:rsid w:val="002E3136"/>
    <w:rsid w:val="002E5CDF"/>
    <w:rsid w:val="002E7A43"/>
    <w:rsid w:val="002E7DAA"/>
    <w:rsid w:val="002F14A2"/>
    <w:rsid w:val="002F5137"/>
    <w:rsid w:val="002F56CA"/>
    <w:rsid w:val="002F57DA"/>
    <w:rsid w:val="002F5936"/>
    <w:rsid w:val="002F7E15"/>
    <w:rsid w:val="00305B70"/>
    <w:rsid w:val="003065CD"/>
    <w:rsid w:val="003066CB"/>
    <w:rsid w:val="00307D0B"/>
    <w:rsid w:val="00310577"/>
    <w:rsid w:val="003124FA"/>
    <w:rsid w:val="00313305"/>
    <w:rsid w:val="003140C1"/>
    <w:rsid w:val="00314496"/>
    <w:rsid w:val="003160AB"/>
    <w:rsid w:val="003165B2"/>
    <w:rsid w:val="003202C5"/>
    <w:rsid w:val="00321081"/>
    <w:rsid w:val="00321582"/>
    <w:rsid w:val="0033721C"/>
    <w:rsid w:val="00342F95"/>
    <w:rsid w:val="00343F82"/>
    <w:rsid w:val="0034722F"/>
    <w:rsid w:val="00353FD9"/>
    <w:rsid w:val="003576B9"/>
    <w:rsid w:val="00357980"/>
    <w:rsid w:val="003604EC"/>
    <w:rsid w:val="00360F60"/>
    <w:rsid w:val="003632F9"/>
    <w:rsid w:val="0036458C"/>
    <w:rsid w:val="00364BB4"/>
    <w:rsid w:val="003662F4"/>
    <w:rsid w:val="00367269"/>
    <w:rsid w:val="00371F78"/>
    <w:rsid w:val="00377674"/>
    <w:rsid w:val="00381B48"/>
    <w:rsid w:val="00386AB9"/>
    <w:rsid w:val="003902FA"/>
    <w:rsid w:val="00390895"/>
    <w:rsid w:val="003A679E"/>
    <w:rsid w:val="003B05E4"/>
    <w:rsid w:val="003B1B83"/>
    <w:rsid w:val="003B4197"/>
    <w:rsid w:val="003C3736"/>
    <w:rsid w:val="003D5083"/>
    <w:rsid w:val="003D773D"/>
    <w:rsid w:val="003E0F9F"/>
    <w:rsid w:val="003E67DC"/>
    <w:rsid w:val="003E6FE5"/>
    <w:rsid w:val="003F140E"/>
    <w:rsid w:val="003F618D"/>
    <w:rsid w:val="003F7D73"/>
    <w:rsid w:val="00400829"/>
    <w:rsid w:val="0040218E"/>
    <w:rsid w:val="00402AA5"/>
    <w:rsid w:val="00402D5B"/>
    <w:rsid w:val="00403D8D"/>
    <w:rsid w:val="00406103"/>
    <w:rsid w:val="004063D6"/>
    <w:rsid w:val="0041086C"/>
    <w:rsid w:val="00410FF0"/>
    <w:rsid w:val="00411F1F"/>
    <w:rsid w:val="00413D93"/>
    <w:rsid w:val="004147DD"/>
    <w:rsid w:val="00420FF0"/>
    <w:rsid w:val="00426C29"/>
    <w:rsid w:val="00430D81"/>
    <w:rsid w:val="00431D26"/>
    <w:rsid w:val="00433359"/>
    <w:rsid w:val="00435E39"/>
    <w:rsid w:val="004369BA"/>
    <w:rsid w:val="00440FD0"/>
    <w:rsid w:val="00442B5A"/>
    <w:rsid w:val="00460458"/>
    <w:rsid w:val="0046651E"/>
    <w:rsid w:val="0047115A"/>
    <w:rsid w:val="004715D4"/>
    <w:rsid w:val="00471E5C"/>
    <w:rsid w:val="00473194"/>
    <w:rsid w:val="00477909"/>
    <w:rsid w:val="00477ABB"/>
    <w:rsid w:val="00483DBE"/>
    <w:rsid w:val="00487EFE"/>
    <w:rsid w:val="00492D01"/>
    <w:rsid w:val="004932A9"/>
    <w:rsid w:val="004946B9"/>
    <w:rsid w:val="00495D72"/>
    <w:rsid w:val="004A49F6"/>
    <w:rsid w:val="004B31B9"/>
    <w:rsid w:val="004B6A9D"/>
    <w:rsid w:val="004C7484"/>
    <w:rsid w:val="004D528C"/>
    <w:rsid w:val="004D604C"/>
    <w:rsid w:val="004E6366"/>
    <w:rsid w:val="004E718C"/>
    <w:rsid w:val="004F2517"/>
    <w:rsid w:val="004F29F6"/>
    <w:rsid w:val="004F60DD"/>
    <w:rsid w:val="00502353"/>
    <w:rsid w:val="0050564E"/>
    <w:rsid w:val="0050723A"/>
    <w:rsid w:val="0050743E"/>
    <w:rsid w:val="00510BD9"/>
    <w:rsid w:val="00512EE2"/>
    <w:rsid w:val="005218CC"/>
    <w:rsid w:val="005328E4"/>
    <w:rsid w:val="005435FC"/>
    <w:rsid w:val="005564A0"/>
    <w:rsid w:val="005612E8"/>
    <w:rsid w:val="0056240C"/>
    <w:rsid w:val="00562477"/>
    <w:rsid w:val="00563741"/>
    <w:rsid w:val="00564E78"/>
    <w:rsid w:val="00565154"/>
    <w:rsid w:val="00567FD5"/>
    <w:rsid w:val="005728E3"/>
    <w:rsid w:val="00574098"/>
    <w:rsid w:val="00582B1C"/>
    <w:rsid w:val="00582C8D"/>
    <w:rsid w:val="00583D5F"/>
    <w:rsid w:val="00584DFB"/>
    <w:rsid w:val="0059074B"/>
    <w:rsid w:val="00590791"/>
    <w:rsid w:val="0059365E"/>
    <w:rsid w:val="00593C6D"/>
    <w:rsid w:val="0059754F"/>
    <w:rsid w:val="005B0CC9"/>
    <w:rsid w:val="005B0E2F"/>
    <w:rsid w:val="005B55E3"/>
    <w:rsid w:val="005B78F9"/>
    <w:rsid w:val="005B79A1"/>
    <w:rsid w:val="005C38F1"/>
    <w:rsid w:val="005C752E"/>
    <w:rsid w:val="005C7B23"/>
    <w:rsid w:val="005C7E4F"/>
    <w:rsid w:val="005D0BC4"/>
    <w:rsid w:val="005D1EBE"/>
    <w:rsid w:val="005D3611"/>
    <w:rsid w:val="005E3C76"/>
    <w:rsid w:val="005E498D"/>
    <w:rsid w:val="005E6F02"/>
    <w:rsid w:val="005F0504"/>
    <w:rsid w:val="005F1863"/>
    <w:rsid w:val="005F26E5"/>
    <w:rsid w:val="005F7CD6"/>
    <w:rsid w:val="00604FCA"/>
    <w:rsid w:val="006104E0"/>
    <w:rsid w:val="00612196"/>
    <w:rsid w:val="00633575"/>
    <w:rsid w:val="006368B5"/>
    <w:rsid w:val="00637716"/>
    <w:rsid w:val="006512C4"/>
    <w:rsid w:val="006520E3"/>
    <w:rsid w:val="00653BC8"/>
    <w:rsid w:val="0065418C"/>
    <w:rsid w:val="006559A9"/>
    <w:rsid w:val="00656441"/>
    <w:rsid w:val="00660F01"/>
    <w:rsid w:val="00664505"/>
    <w:rsid w:val="0067046A"/>
    <w:rsid w:val="006822E8"/>
    <w:rsid w:val="00683406"/>
    <w:rsid w:val="00684666"/>
    <w:rsid w:val="006919DE"/>
    <w:rsid w:val="0069367A"/>
    <w:rsid w:val="00694673"/>
    <w:rsid w:val="00696540"/>
    <w:rsid w:val="006A37B2"/>
    <w:rsid w:val="006A4230"/>
    <w:rsid w:val="006B0783"/>
    <w:rsid w:val="006C131F"/>
    <w:rsid w:val="006C3FB7"/>
    <w:rsid w:val="006C41B3"/>
    <w:rsid w:val="006C5FFA"/>
    <w:rsid w:val="006C6068"/>
    <w:rsid w:val="006C76DD"/>
    <w:rsid w:val="006D4D24"/>
    <w:rsid w:val="006D53D7"/>
    <w:rsid w:val="006E2D87"/>
    <w:rsid w:val="006F32D3"/>
    <w:rsid w:val="006F3B20"/>
    <w:rsid w:val="00703E83"/>
    <w:rsid w:val="00704DB5"/>
    <w:rsid w:val="00713605"/>
    <w:rsid w:val="00714FAE"/>
    <w:rsid w:val="00715BE4"/>
    <w:rsid w:val="007164B8"/>
    <w:rsid w:val="00725854"/>
    <w:rsid w:val="00725B4B"/>
    <w:rsid w:val="00725D31"/>
    <w:rsid w:val="00727425"/>
    <w:rsid w:val="00731054"/>
    <w:rsid w:val="00732E71"/>
    <w:rsid w:val="00735736"/>
    <w:rsid w:val="00741A47"/>
    <w:rsid w:val="00747DEE"/>
    <w:rsid w:val="00754022"/>
    <w:rsid w:val="00765C38"/>
    <w:rsid w:val="007664F7"/>
    <w:rsid w:val="00770770"/>
    <w:rsid w:val="00773266"/>
    <w:rsid w:val="0077498C"/>
    <w:rsid w:val="0078092E"/>
    <w:rsid w:val="00782016"/>
    <w:rsid w:val="00782D61"/>
    <w:rsid w:val="00782F9D"/>
    <w:rsid w:val="007855A6"/>
    <w:rsid w:val="00790D02"/>
    <w:rsid w:val="007959DB"/>
    <w:rsid w:val="00795CAC"/>
    <w:rsid w:val="007A3C6F"/>
    <w:rsid w:val="007A40FE"/>
    <w:rsid w:val="007B3B31"/>
    <w:rsid w:val="007B73AA"/>
    <w:rsid w:val="007B78BF"/>
    <w:rsid w:val="007C7135"/>
    <w:rsid w:val="007D508A"/>
    <w:rsid w:val="007E1BF8"/>
    <w:rsid w:val="007E437B"/>
    <w:rsid w:val="007E43CB"/>
    <w:rsid w:val="00807984"/>
    <w:rsid w:val="0081180A"/>
    <w:rsid w:val="0081335D"/>
    <w:rsid w:val="008252F0"/>
    <w:rsid w:val="00834601"/>
    <w:rsid w:val="00835DD6"/>
    <w:rsid w:val="00836173"/>
    <w:rsid w:val="00836929"/>
    <w:rsid w:val="008401A7"/>
    <w:rsid w:val="008414E8"/>
    <w:rsid w:val="00844F95"/>
    <w:rsid w:val="00847F53"/>
    <w:rsid w:val="0086482B"/>
    <w:rsid w:val="0087422C"/>
    <w:rsid w:val="00880F29"/>
    <w:rsid w:val="0088221F"/>
    <w:rsid w:val="00882656"/>
    <w:rsid w:val="00884FD6"/>
    <w:rsid w:val="00887EDA"/>
    <w:rsid w:val="0089439C"/>
    <w:rsid w:val="008A2165"/>
    <w:rsid w:val="008A34C5"/>
    <w:rsid w:val="008A53D4"/>
    <w:rsid w:val="008A62C7"/>
    <w:rsid w:val="008A671C"/>
    <w:rsid w:val="008A7033"/>
    <w:rsid w:val="008A7EB1"/>
    <w:rsid w:val="008B4FDF"/>
    <w:rsid w:val="008C0B38"/>
    <w:rsid w:val="008D0580"/>
    <w:rsid w:val="008D0FA7"/>
    <w:rsid w:val="008D25EC"/>
    <w:rsid w:val="008D2B6A"/>
    <w:rsid w:val="008D5BDC"/>
    <w:rsid w:val="008E0373"/>
    <w:rsid w:val="008E485A"/>
    <w:rsid w:val="008F1CDB"/>
    <w:rsid w:val="008F7315"/>
    <w:rsid w:val="009273E6"/>
    <w:rsid w:val="00936A24"/>
    <w:rsid w:val="00940459"/>
    <w:rsid w:val="00941FAA"/>
    <w:rsid w:val="0094396F"/>
    <w:rsid w:val="00943DDB"/>
    <w:rsid w:val="00953335"/>
    <w:rsid w:val="00954BF0"/>
    <w:rsid w:val="00955C08"/>
    <w:rsid w:val="00956512"/>
    <w:rsid w:val="00956524"/>
    <w:rsid w:val="009566C1"/>
    <w:rsid w:val="00957604"/>
    <w:rsid w:val="00960C6D"/>
    <w:rsid w:val="00967871"/>
    <w:rsid w:val="009778EE"/>
    <w:rsid w:val="00987CEA"/>
    <w:rsid w:val="009928B6"/>
    <w:rsid w:val="0099344F"/>
    <w:rsid w:val="00994E07"/>
    <w:rsid w:val="009A1396"/>
    <w:rsid w:val="009A2E29"/>
    <w:rsid w:val="009B6138"/>
    <w:rsid w:val="009B737D"/>
    <w:rsid w:val="009C15BA"/>
    <w:rsid w:val="009C4EFE"/>
    <w:rsid w:val="009D4EAC"/>
    <w:rsid w:val="009D52E0"/>
    <w:rsid w:val="009D5827"/>
    <w:rsid w:val="009E3988"/>
    <w:rsid w:val="009E5E93"/>
    <w:rsid w:val="009E6DFE"/>
    <w:rsid w:val="009E7229"/>
    <w:rsid w:val="009F362B"/>
    <w:rsid w:val="009F43B5"/>
    <w:rsid w:val="009F585E"/>
    <w:rsid w:val="00A049EC"/>
    <w:rsid w:val="00A12923"/>
    <w:rsid w:val="00A14AAE"/>
    <w:rsid w:val="00A24940"/>
    <w:rsid w:val="00A264E9"/>
    <w:rsid w:val="00A26CFC"/>
    <w:rsid w:val="00A36529"/>
    <w:rsid w:val="00A37E3A"/>
    <w:rsid w:val="00A42107"/>
    <w:rsid w:val="00A42DF5"/>
    <w:rsid w:val="00A43326"/>
    <w:rsid w:val="00A43378"/>
    <w:rsid w:val="00A5295F"/>
    <w:rsid w:val="00A569AD"/>
    <w:rsid w:val="00A579F3"/>
    <w:rsid w:val="00A63200"/>
    <w:rsid w:val="00A642AB"/>
    <w:rsid w:val="00A715C5"/>
    <w:rsid w:val="00A76226"/>
    <w:rsid w:val="00A83725"/>
    <w:rsid w:val="00A90EB0"/>
    <w:rsid w:val="00A9347D"/>
    <w:rsid w:val="00A9702E"/>
    <w:rsid w:val="00A97958"/>
    <w:rsid w:val="00AA02EF"/>
    <w:rsid w:val="00AB1D4F"/>
    <w:rsid w:val="00AB53D9"/>
    <w:rsid w:val="00AC64E6"/>
    <w:rsid w:val="00AC7882"/>
    <w:rsid w:val="00AD0D5E"/>
    <w:rsid w:val="00AD3E86"/>
    <w:rsid w:val="00AD44AF"/>
    <w:rsid w:val="00AD475F"/>
    <w:rsid w:val="00AD5FF3"/>
    <w:rsid w:val="00AD71AE"/>
    <w:rsid w:val="00AD7F00"/>
    <w:rsid w:val="00AE1CDB"/>
    <w:rsid w:val="00AE25B7"/>
    <w:rsid w:val="00AE44D3"/>
    <w:rsid w:val="00AE4B25"/>
    <w:rsid w:val="00AE5D89"/>
    <w:rsid w:val="00AF761B"/>
    <w:rsid w:val="00B02830"/>
    <w:rsid w:val="00B0359A"/>
    <w:rsid w:val="00B07808"/>
    <w:rsid w:val="00B10EA3"/>
    <w:rsid w:val="00B12703"/>
    <w:rsid w:val="00B12D91"/>
    <w:rsid w:val="00B17C1A"/>
    <w:rsid w:val="00B21B33"/>
    <w:rsid w:val="00B26D46"/>
    <w:rsid w:val="00B30D20"/>
    <w:rsid w:val="00B31588"/>
    <w:rsid w:val="00B3178A"/>
    <w:rsid w:val="00B31820"/>
    <w:rsid w:val="00B46948"/>
    <w:rsid w:val="00B53608"/>
    <w:rsid w:val="00B557B1"/>
    <w:rsid w:val="00B63A95"/>
    <w:rsid w:val="00B71764"/>
    <w:rsid w:val="00B71EB1"/>
    <w:rsid w:val="00B73AA3"/>
    <w:rsid w:val="00B73ACC"/>
    <w:rsid w:val="00B83D34"/>
    <w:rsid w:val="00B93CFA"/>
    <w:rsid w:val="00BA1D5E"/>
    <w:rsid w:val="00BA3F1D"/>
    <w:rsid w:val="00BA43C5"/>
    <w:rsid w:val="00BA4A06"/>
    <w:rsid w:val="00BA4FF4"/>
    <w:rsid w:val="00BA5C32"/>
    <w:rsid w:val="00BB0198"/>
    <w:rsid w:val="00BB12CC"/>
    <w:rsid w:val="00BC0016"/>
    <w:rsid w:val="00BC2B06"/>
    <w:rsid w:val="00BD1C13"/>
    <w:rsid w:val="00BD3C00"/>
    <w:rsid w:val="00BD62A6"/>
    <w:rsid w:val="00BE4FAE"/>
    <w:rsid w:val="00BE6F35"/>
    <w:rsid w:val="00BF02EA"/>
    <w:rsid w:val="00BF0889"/>
    <w:rsid w:val="00BF1324"/>
    <w:rsid w:val="00BF3828"/>
    <w:rsid w:val="00BF4D89"/>
    <w:rsid w:val="00BF6EA8"/>
    <w:rsid w:val="00C00674"/>
    <w:rsid w:val="00C006E4"/>
    <w:rsid w:val="00C1314E"/>
    <w:rsid w:val="00C13ECD"/>
    <w:rsid w:val="00C143A3"/>
    <w:rsid w:val="00C22AE5"/>
    <w:rsid w:val="00C24196"/>
    <w:rsid w:val="00C24229"/>
    <w:rsid w:val="00C31148"/>
    <w:rsid w:val="00C31CF7"/>
    <w:rsid w:val="00C34496"/>
    <w:rsid w:val="00C43D84"/>
    <w:rsid w:val="00C50699"/>
    <w:rsid w:val="00C51B85"/>
    <w:rsid w:val="00C5352B"/>
    <w:rsid w:val="00C559BF"/>
    <w:rsid w:val="00C55A51"/>
    <w:rsid w:val="00C60203"/>
    <w:rsid w:val="00C60AE4"/>
    <w:rsid w:val="00C61E04"/>
    <w:rsid w:val="00C807BE"/>
    <w:rsid w:val="00C80BBE"/>
    <w:rsid w:val="00C856B7"/>
    <w:rsid w:val="00C86063"/>
    <w:rsid w:val="00C8705B"/>
    <w:rsid w:val="00C91CFB"/>
    <w:rsid w:val="00C93BC8"/>
    <w:rsid w:val="00C954F0"/>
    <w:rsid w:val="00C96DD9"/>
    <w:rsid w:val="00C97C9E"/>
    <w:rsid w:val="00CA0048"/>
    <w:rsid w:val="00CA21F4"/>
    <w:rsid w:val="00CB5E25"/>
    <w:rsid w:val="00CC2570"/>
    <w:rsid w:val="00CC3140"/>
    <w:rsid w:val="00CC43F3"/>
    <w:rsid w:val="00CD1F03"/>
    <w:rsid w:val="00CD39E8"/>
    <w:rsid w:val="00CD4112"/>
    <w:rsid w:val="00CE20F1"/>
    <w:rsid w:val="00CE531D"/>
    <w:rsid w:val="00CF5649"/>
    <w:rsid w:val="00D0092F"/>
    <w:rsid w:val="00D056C8"/>
    <w:rsid w:val="00D11818"/>
    <w:rsid w:val="00D1193C"/>
    <w:rsid w:val="00D13CD0"/>
    <w:rsid w:val="00D33D7E"/>
    <w:rsid w:val="00D340A2"/>
    <w:rsid w:val="00D34D90"/>
    <w:rsid w:val="00D40D14"/>
    <w:rsid w:val="00D41175"/>
    <w:rsid w:val="00D6292C"/>
    <w:rsid w:val="00D62997"/>
    <w:rsid w:val="00D6512F"/>
    <w:rsid w:val="00D6577E"/>
    <w:rsid w:val="00D66377"/>
    <w:rsid w:val="00D66AC9"/>
    <w:rsid w:val="00D74B65"/>
    <w:rsid w:val="00D75A6A"/>
    <w:rsid w:val="00D810F8"/>
    <w:rsid w:val="00D85CF6"/>
    <w:rsid w:val="00D9043F"/>
    <w:rsid w:val="00D90810"/>
    <w:rsid w:val="00D90BEB"/>
    <w:rsid w:val="00D90E7A"/>
    <w:rsid w:val="00D91AD7"/>
    <w:rsid w:val="00D92106"/>
    <w:rsid w:val="00D9300B"/>
    <w:rsid w:val="00D94C0A"/>
    <w:rsid w:val="00D951D6"/>
    <w:rsid w:val="00D96FA5"/>
    <w:rsid w:val="00D97469"/>
    <w:rsid w:val="00D97A1B"/>
    <w:rsid w:val="00DA1CDB"/>
    <w:rsid w:val="00DA20B3"/>
    <w:rsid w:val="00DA2A6B"/>
    <w:rsid w:val="00DA3328"/>
    <w:rsid w:val="00DA5506"/>
    <w:rsid w:val="00DA6B61"/>
    <w:rsid w:val="00DB6D60"/>
    <w:rsid w:val="00DD4476"/>
    <w:rsid w:val="00DD7318"/>
    <w:rsid w:val="00DE160E"/>
    <w:rsid w:val="00DE276E"/>
    <w:rsid w:val="00DF0DA0"/>
    <w:rsid w:val="00DF33E3"/>
    <w:rsid w:val="00DF4CFB"/>
    <w:rsid w:val="00E00548"/>
    <w:rsid w:val="00E01F92"/>
    <w:rsid w:val="00E043D7"/>
    <w:rsid w:val="00E0650F"/>
    <w:rsid w:val="00E10843"/>
    <w:rsid w:val="00E12D1F"/>
    <w:rsid w:val="00E17DBC"/>
    <w:rsid w:val="00E221B2"/>
    <w:rsid w:val="00E22FDC"/>
    <w:rsid w:val="00E23C73"/>
    <w:rsid w:val="00E25833"/>
    <w:rsid w:val="00E25E69"/>
    <w:rsid w:val="00E27280"/>
    <w:rsid w:val="00E301B0"/>
    <w:rsid w:val="00E41D69"/>
    <w:rsid w:val="00E533C1"/>
    <w:rsid w:val="00E55B1A"/>
    <w:rsid w:val="00E574F8"/>
    <w:rsid w:val="00E579F8"/>
    <w:rsid w:val="00E623C0"/>
    <w:rsid w:val="00E633C2"/>
    <w:rsid w:val="00E638D2"/>
    <w:rsid w:val="00E66DF4"/>
    <w:rsid w:val="00E67E92"/>
    <w:rsid w:val="00E70675"/>
    <w:rsid w:val="00E715C1"/>
    <w:rsid w:val="00E75E17"/>
    <w:rsid w:val="00E807BA"/>
    <w:rsid w:val="00E81B0E"/>
    <w:rsid w:val="00E82512"/>
    <w:rsid w:val="00E85C7D"/>
    <w:rsid w:val="00E92FAB"/>
    <w:rsid w:val="00E93A39"/>
    <w:rsid w:val="00E95266"/>
    <w:rsid w:val="00EA1D97"/>
    <w:rsid w:val="00EA231C"/>
    <w:rsid w:val="00EA3CA4"/>
    <w:rsid w:val="00EA58B3"/>
    <w:rsid w:val="00EA6DD2"/>
    <w:rsid w:val="00EA761D"/>
    <w:rsid w:val="00EB1733"/>
    <w:rsid w:val="00EB4F04"/>
    <w:rsid w:val="00EB5162"/>
    <w:rsid w:val="00EB5E8A"/>
    <w:rsid w:val="00EB7DA1"/>
    <w:rsid w:val="00EC32E9"/>
    <w:rsid w:val="00EC3D68"/>
    <w:rsid w:val="00ED20D3"/>
    <w:rsid w:val="00ED582A"/>
    <w:rsid w:val="00ED6D35"/>
    <w:rsid w:val="00EE1A42"/>
    <w:rsid w:val="00EE24D2"/>
    <w:rsid w:val="00EF26AE"/>
    <w:rsid w:val="00EF4B55"/>
    <w:rsid w:val="00EF6352"/>
    <w:rsid w:val="00EF6C16"/>
    <w:rsid w:val="00F0242C"/>
    <w:rsid w:val="00F07ACD"/>
    <w:rsid w:val="00F14439"/>
    <w:rsid w:val="00F15432"/>
    <w:rsid w:val="00F20145"/>
    <w:rsid w:val="00F31611"/>
    <w:rsid w:val="00F3212E"/>
    <w:rsid w:val="00F337DF"/>
    <w:rsid w:val="00F34BBC"/>
    <w:rsid w:val="00F421C3"/>
    <w:rsid w:val="00F44507"/>
    <w:rsid w:val="00F4507C"/>
    <w:rsid w:val="00F471C4"/>
    <w:rsid w:val="00F47744"/>
    <w:rsid w:val="00F54CFF"/>
    <w:rsid w:val="00F576B6"/>
    <w:rsid w:val="00F61B16"/>
    <w:rsid w:val="00F63023"/>
    <w:rsid w:val="00F659C1"/>
    <w:rsid w:val="00F673A6"/>
    <w:rsid w:val="00F73C07"/>
    <w:rsid w:val="00F7448F"/>
    <w:rsid w:val="00F76F37"/>
    <w:rsid w:val="00F80D25"/>
    <w:rsid w:val="00F8162E"/>
    <w:rsid w:val="00F86CE3"/>
    <w:rsid w:val="00F870D8"/>
    <w:rsid w:val="00F91F15"/>
    <w:rsid w:val="00FA4AB1"/>
    <w:rsid w:val="00FA5F3E"/>
    <w:rsid w:val="00FB5264"/>
    <w:rsid w:val="00FB6AEA"/>
    <w:rsid w:val="00FB794A"/>
    <w:rsid w:val="00FC02A2"/>
    <w:rsid w:val="00FC09A0"/>
    <w:rsid w:val="00FC2213"/>
    <w:rsid w:val="00FE034D"/>
    <w:rsid w:val="00FE34A5"/>
    <w:rsid w:val="00FE72C8"/>
    <w:rsid w:val="00FF5CA5"/>
    <w:rsid w:val="00FF667C"/>
    <w:rsid w:val="00FF74C7"/>
    <w:rsid w:val="23D13985"/>
    <w:rsid w:val="25CFF332"/>
    <w:rsid w:val="377CFD33"/>
    <w:rsid w:val="3DE77582"/>
    <w:rsid w:val="3F0A50AD"/>
    <w:rsid w:val="4539CA8A"/>
    <w:rsid w:val="6FF5FD63"/>
    <w:rsid w:val="74DFB8AB"/>
    <w:rsid w:val="7A76BCEF"/>
    <w:rsid w:val="7DEB782C"/>
    <w:rsid w:val="7FCFE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7">
    <w:name w:val="Normal (Web)"/>
    <w:basedOn w:val="a"/>
    <w:qFormat/>
    <w:pPr>
      <w:widowControl/>
      <w:spacing w:before="100" w:beforeAutospacing="1" w:after="100" w:afterAutospacing="1" w:line="360" w:lineRule="atLeast"/>
      <w:jc w:val="left"/>
    </w:pPr>
    <w:rPr>
      <w:rFonts w:ascii="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rFonts w:ascii="Verdana" w:eastAsia="仿宋_GB2312" w:hAnsi="Verdana"/>
      <w:b/>
      <w:bCs/>
      <w:kern w:val="0"/>
      <w:sz w:val="24"/>
      <w:szCs w:val="20"/>
      <w:lang w:eastAsia="en-US"/>
    </w:rPr>
  </w:style>
  <w:style w:type="character" w:styleId="aa">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Char2">
    <w:name w:val="副标题 Char"/>
    <w:basedOn w:val="a0"/>
    <w:link w:val="a6"/>
    <w:uiPriority w:val="11"/>
    <w:qFormat/>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7">
    <w:name w:val="Normal (Web)"/>
    <w:basedOn w:val="a"/>
    <w:qFormat/>
    <w:pPr>
      <w:widowControl/>
      <w:spacing w:before="100" w:beforeAutospacing="1" w:after="100" w:afterAutospacing="1" w:line="360" w:lineRule="atLeast"/>
      <w:jc w:val="left"/>
    </w:pPr>
    <w:rPr>
      <w:rFonts w:ascii="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rFonts w:ascii="Verdana" w:eastAsia="仿宋_GB2312" w:hAnsi="Verdana"/>
      <w:b/>
      <w:bCs/>
      <w:kern w:val="0"/>
      <w:sz w:val="24"/>
      <w:szCs w:val="20"/>
      <w:lang w:eastAsia="en-US"/>
    </w:rPr>
  </w:style>
  <w:style w:type="character" w:styleId="aa">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Char2">
    <w:name w:val="副标题 Char"/>
    <w:basedOn w:val="a0"/>
    <w:link w:val="a6"/>
    <w:uiPriority w:val="11"/>
    <w:qFormat/>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1059</Words>
  <Characters>6039</Characters>
  <Application>Microsoft Office Word</Application>
  <DocSecurity>0</DocSecurity>
  <Lines>50</Lines>
  <Paragraphs>14</Paragraphs>
  <ScaleCrop>false</ScaleCrop>
  <Company>china</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天津市人民政府推进政府职能转变和“放管服”改革协调小组办公室</dc:title>
  <dc:creator>伍贤兵</dc:creator>
  <cp:lastModifiedBy>黄鑫</cp:lastModifiedBy>
  <cp:revision>44</cp:revision>
  <cp:lastPrinted>2021-08-19T08:22:00Z</cp:lastPrinted>
  <dcterms:created xsi:type="dcterms:W3CDTF">2020-08-03T03:42:00Z</dcterms:created>
  <dcterms:modified xsi:type="dcterms:W3CDTF">2021-08-19T08:42:00Z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9C8D0E4C7EF04F808C82473D68951278</vt:lpwstr>
  </property>
</Properties>
</file>