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/>
          <w:spacing w:val="-1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/>
          <w:spacing w:val="-10"/>
          <w:sz w:val="44"/>
          <w:szCs w:val="44"/>
          <w:lang w:eastAsia="zh-CN"/>
        </w:rPr>
        <w:t>天津市人民政府政务服务办公室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/>
          <w:spacing w:val="-10"/>
          <w:sz w:val="44"/>
          <w:szCs w:val="44"/>
        </w:rPr>
      </w:pPr>
      <w:r>
        <w:rPr>
          <w:rFonts w:hint="eastAsia" w:ascii="方正小标宋简体" w:hAnsi="方正小标宋简体" w:eastAsia="方正小标宋简体"/>
          <w:spacing w:val="-10"/>
          <w:sz w:val="44"/>
          <w:szCs w:val="44"/>
          <w:lang w:eastAsia="zh-CN"/>
        </w:rPr>
        <w:t>网站监测服务项目</w:t>
      </w:r>
      <w:r>
        <w:rPr>
          <w:rFonts w:hint="default" w:ascii="方正小标宋简体" w:hAnsi="方正小标宋简体" w:eastAsia="方正小标宋简体"/>
          <w:spacing w:val="-10"/>
          <w:sz w:val="44"/>
          <w:szCs w:val="44"/>
        </w:rPr>
        <w:t>需求书</w:t>
      </w:r>
    </w:p>
    <w:p>
      <w:pPr>
        <w:jc w:val="center"/>
        <w:rPr>
          <w:rFonts w:hint="eastAsia" w:ascii="方正小标宋简体" w:eastAsia="方正小标宋简体"/>
          <w:sz w:val="32"/>
          <w:szCs w:val="32"/>
        </w:rPr>
      </w:pPr>
    </w:p>
    <w:p>
      <w:pPr>
        <w:spacing w:line="580" w:lineRule="exact"/>
        <w:ind w:firstLine="641"/>
        <w:rPr>
          <w:rFonts w:ascii="黑体" w:hAnsi="黑体" w:eastAsia="黑体" w:cs="黑体"/>
          <w:bCs/>
          <w:sz w:val="32"/>
          <w:szCs w:val="32"/>
        </w:rPr>
      </w:pPr>
      <w:r>
        <w:rPr>
          <w:rFonts w:ascii="黑体" w:hAnsi="黑体" w:eastAsia="黑体" w:cs="黑体"/>
          <w:bCs/>
          <w:sz w:val="32"/>
          <w:szCs w:val="32"/>
        </w:rPr>
        <w:t>一</w:t>
      </w:r>
      <w:r>
        <w:rPr>
          <w:rFonts w:hint="eastAsia" w:ascii="黑体" w:hAnsi="黑体" w:eastAsia="黑体" w:cs="黑体"/>
          <w:bCs/>
          <w:sz w:val="32"/>
          <w:szCs w:val="32"/>
        </w:rPr>
        <w:t>、项目简介</w:t>
      </w:r>
    </w:p>
    <w:p>
      <w:pPr>
        <w:spacing w:line="580" w:lineRule="exact"/>
        <w:ind w:firstLine="641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为进一步加强和完善市政务服务办网站日常管理和常态化监测工作，促进网站更新及时、内容丰富、资源全面、安全运行，拟通过政府购买服务方式，由专业技术团队对市政务服务办网站进行监测。</w:t>
      </w:r>
    </w:p>
    <w:p>
      <w:pPr>
        <w:numPr>
          <w:ilvl w:val="0"/>
          <w:numId w:val="1"/>
        </w:numPr>
        <w:spacing w:line="580" w:lineRule="exact"/>
        <w:ind w:firstLine="641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资格要求</w:t>
      </w:r>
    </w:p>
    <w:p>
      <w:pPr>
        <w:pStyle w:val="7"/>
        <w:ind w:firstLine="640"/>
      </w:pPr>
      <w:r>
        <w:rPr>
          <w:rFonts w:hint="eastAsia"/>
        </w:rPr>
        <w:t>（一）供应商需满足《中华人民共和国政府采购法》第二十二条规定；</w:t>
      </w:r>
    </w:p>
    <w:p>
      <w:pPr>
        <w:pStyle w:val="7"/>
        <w:ind w:firstLine="640"/>
      </w:pPr>
      <w:r>
        <w:rPr>
          <w:rFonts w:hint="eastAsia"/>
        </w:rPr>
        <w:t>（二）供应商须具有独立法人资格，提供营业执照副本</w:t>
      </w:r>
      <w:r>
        <w:rPr>
          <w:rFonts w:hint="eastAsia"/>
          <w:lang w:eastAsia="zh-CN"/>
        </w:rPr>
        <w:t>或法人登记证书</w:t>
      </w:r>
      <w:r>
        <w:rPr>
          <w:rFonts w:hint="eastAsia"/>
        </w:rPr>
        <w:t>复印件并加盖公章；</w:t>
      </w:r>
    </w:p>
    <w:p>
      <w:pPr>
        <w:pStyle w:val="7"/>
        <w:ind w:firstLine="640"/>
      </w:pPr>
      <w:r>
        <w:rPr>
          <w:rFonts w:hint="eastAsia"/>
        </w:rPr>
        <w:t>（三）供应商须提供相应的从业</w:t>
      </w:r>
      <w:r>
        <w:rPr>
          <w:rFonts w:hint="eastAsia"/>
          <w:lang w:eastAsia="zh-CN"/>
        </w:rPr>
        <w:t>经验的</w:t>
      </w:r>
      <w:r>
        <w:rPr>
          <w:rFonts w:hint="eastAsia"/>
        </w:rPr>
        <w:t>证明</w:t>
      </w:r>
      <w:r>
        <w:rPr>
          <w:rFonts w:hint="eastAsia"/>
          <w:lang w:eastAsia="zh-CN"/>
        </w:rPr>
        <w:t>材料</w:t>
      </w:r>
      <w:r>
        <w:rPr>
          <w:rFonts w:hint="eastAsia"/>
        </w:rPr>
        <w:t>并加盖公章；</w:t>
      </w:r>
    </w:p>
    <w:p>
      <w:pPr>
        <w:pStyle w:val="7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/>
        </w:rPr>
        <w:t>（四）本项目不接受联合体投标；</w:t>
      </w:r>
    </w:p>
    <w:p>
      <w:pPr>
        <w:spacing w:line="58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bCs/>
          <w:sz w:val="32"/>
          <w:szCs w:val="32"/>
        </w:rPr>
        <w:t>三、采购预算及结算方式</w:t>
      </w:r>
    </w:p>
    <w:p>
      <w:pPr>
        <w:spacing w:line="580" w:lineRule="exact"/>
        <w:ind w:firstLine="641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（1）项目预算</w:t>
      </w:r>
      <w:r>
        <w:rPr>
          <w:rFonts w:hint="eastAsia" w:ascii="Times New Roman" w:hAnsi="Times New Roman" w:eastAsia="仿宋_GB2312"/>
          <w:sz w:val="32"/>
          <w:szCs w:val="32"/>
        </w:rPr>
        <w:t>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/>
          <w:sz w:val="32"/>
          <w:szCs w:val="32"/>
        </w:rPr>
        <w:t>万</w:t>
      </w:r>
      <w:r>
        <w:rPr>
          <w:rFonts w:ascii="Times New Roman" w:hAnsi="Times New Roman" w:eastAsia="仿宋_GB2312"/>
          <w:sz w:val="32"/>
          <w:szCs w:val="32"/>
        </w:rPr>
        <w:t>元。</w:t>
      </w:r>
    </w:p>
    <w:p>
      <w:pPr>
        <w:spacing w:line="580" w:lineRule="exact"/>
        <w:ind w:firstLine="641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sz w:val="32"/>
          <w:szCs w:val="32"/>
        </w:rPr>
        <w:t>（2）结算方式：签订合同后支付总款的</w:t>
      </w:r>
      <w:r>
        <w:rPr>
          <w:rFonts w:hint="default" w:ascii="Times New Roman" w:hAnsi="Times New Roman" w:eastAsia="仿宋_GB2312"/>
          <w:sz w:val="32"/>
          <w:szCs w:val="32"/>
        </w:rPr>
        <w:t>3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/>
          <w:sz w:val="32"/>
          <w:szCs w:val="32"/>
        </w:rPr>
        <w:t>%；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合同签订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3个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月后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乙方能够正常履约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并经甲方验收合格后</w:t>
      </w:r>
      <w:r>
        <w:rPr>
          <w:rFonts w:hint="default" w:ascii="Times New Roman" w:hAnsi="Times New Roman" w:eastAsia="仿宋_GB2312"/>
          <w:sz w:val="32"/>
          <w:szCs w:val="32"/>
        </w:rPr>
        <w:t>，支付总款的60%；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服务期满，甲方验收合格</w:t>
      </w:r>
      <w:r>
        <w:rPr>
          <w:rFonts w:hint="eastAsia" w:ascii="仿宋_GB2312" w:eastAsia="仿宋_GB2312" w:cs="仿宋_GB2312"/>
          <w:sz w:val="32"/>
          <w:szCs w:val="32"/>
          <w:lang w:eastAsia="zh-CN" w:bidi="ar"/>
        </w:rPr>
        <w:t>后</w:t>
      </w:r>
      <w:r>
        <w:rPr>
          <w:rFonts w:hint="default" w:ascii="Times New Roman" w:hAnsi="Times New Roman" w:eastAsia="仿宋_GB2312"/>
          <w:sz w:val="32"/>
          <w:szCs w:val="32"/>
        </w:rPr>
        <w:t>，支付总款的10%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</w:p>
    <w:p>
      <w:pPr>
        <w:spacing w:line="580" w:lineRule="exact"/>
        <w:ind w:firstLine="641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四、服务要求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监测方式</w:t>
      </w:r>
      <w:r>
        <w:rPr>
          <w:rFonts w:hint="default" w:ascii="Times New Roman" w:hAnsi="Times New Roman" w:cs="Times New Roman"/>
          <w:sz w:val="32"/>
          <w:szCs w:val="32"/>
        </w:rPr>
        <w:t>。采取“软件+人工”的方式，监测系统进行数据初次采集后，由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专人对</w:t>
      </w:r>
      <w:r>
        <w:rPr>
          <w:rFonts w:hint="default" w:ascii="Times New Roman" w:hAnsi="Times New Roman" w:cs="Times New Roman"/>
          <w:sz w:val="32"/>
          <w:szCs w:val="32"/>
        </w:rPr>
        <w:t>数据进行二次审核，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避免</w:t>
      </w:r>
      <w:r>
        <w:rPr>
          <w:rFonts w:hint="default" w:ascii="Times New Roman" w:hAnsi="Times New Roman" w:cs="Times New Roman"/>
          <w:sz w:val="32"/>
          <w:szCs w:val="32"/>
        </w:rPr>
        <w:t>出现误报、少报等现象，确保监测数据的真实、准确、客观。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2.问题预警</w:t>
      </w:r>
      <w:r>
        <w:rPr>
          <w:rFonts w:hint="default" w:ascii="Times New Roman" w:hAnsi="Times New Roman" w:cs="Times New Roman"/>
          <w:sz w:val="32"/>
          <w:szCs w:val="32"/>
        </w:rPr>
        <w:t>。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对网站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进行实时动态监测</w:t>
      </w:r>
      <w:r>
        <w:rPr>
          <w:rFonts w:hint="default" w:ascii="Times New Roman" w:hAnsi="Times New Roman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配置网站监控预警</w:t>
      </w:r>
      <w:r>
        <w:rPr>
          <w:rFonts w:hint="default" w:ascii="Times New Roman" w:hAnsi="Times New Roman" w:cs="Times New Roman"/>
          <w:sz w:val="32"/>
          <w:szCs w:val="32"/>
        </w:rPr>
        <w:t>，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发现问题后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1小时</w:t>
      </w:r>
      <w:r>
        <w:rPr>
          <w:rFonts w:hint="default" w:ascii="Times New Roman" w:hAnsi="Times New Roman" w:cs="Times New Roman"/>
          <w:sz w:val="32"/>
          <w:szCs w:val="32"/>
        </w:rPr>
        <w:t>内通过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电话、短信等方式</w:t>
      </w:r>
      <w:r>
        <w:rPr>
          <w:rFonts w:hint="default" w:ascii="Times New Roman" w:hAnsi="Times New Roman" w:cs="Times New Roman"/>
          <w:sz w:val="32"/>
          <w:szCs w:val="32"/>
        </w:rPr>
        <w:t>进行预警推送。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监测月报。每月前5个工作日，根据《国务院办公厅秘书局关于印发政府网站与政务新媒体检查指标、监管工作年度考核指标的通知》（国办秘函〔2019〕19号）及本市对政府网站内容建设具体要求，分析汇总形成监测月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报。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黑体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bCs/>
          <w:sz w:val="32"/>
          <w:szCs w:val="32"/>
          <w:lang w:eastAsia="zh-CN"/>
        </w:rPr>
        <w:t>五</w:t>
      </w:r>
      <w:r>
        <w:rPr>
          <w:rFonts w:ascii="Times New Roman" w:hAnsi="Times New Roman" w:eastAsia="仿宋_GB2312"/>
          <w:sz w:val="32"/>
          <w:szCs w:val="32"/>
        </w:rPr>
        <w:t>、</w:t>
      </w:r>
      <w:r>
        <w:rPr>
          <w:rFonts w:hint="eastAsia" w:ascii="Times New Roman" w:hAnsi="Times New Roman" w:eastAsia="黑体"/>
          <w:bCs/>
          <w:sz w:val="32"/>
          <w:szCs w:val="32"/>
          <w:lang w:eastAsia="zh-CN"/>
        </w:rPr>
        <w:t>服务期</w:t>
      </w:r>
    </w:p>
    <w:p>
      <w:pPr>
        <w:pStyle w:val="7"/>
        <w:ind w:firstLine="640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自合同签订之日起</w:t>
      </w:r>
      <w:r>
        <w:rPr>
          <w:rFonts w:hint="default" w:ascii="Times New Roman" w:hAnsi="Times New Roman" w:cs="Times New Roman"/>
        </w:rPr>
        <w:t>1年。</w:t>
      </w:r>
    </w:p>
    <w:p>
      <w:pPr>
        <w:spacing w:line="580" w:lineRule="exact"/>
        <w:ind w:firstLine="640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六、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成交方式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本项目采用综合评分法，资格要求审查合格，按得分由高到低顺序确定成交候选供应商；得分相同的，按投标报价由低到高顺序确定成交候选供应商；得分且投标报价相同的，按技术指标优劣顺序确定成交候选供应商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"/>
        <w:gridCol w:w="1696"/>
        <w:gridCol w:w="5540"/>
        <w:gridCol w:w="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87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val="en-US" w:eastAsia="zh-CN"/>
              </w:rPr>
              <w:t>评标标准及因素</w:t>
            </w:r>
          </w:p>
        </w:tc>
        <w:tc>
          <w:tcPr>
            <w:tcW w:w="835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1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96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价格</w:t>
            </w:r>
          </w:p>
        </w:tc>
        <w:tc>
          <w:tcPr>
            <w:tcW w:w="5540" w:type="dxa"/>
            <w:vAlign w:val="center"/>
          </w:tcPr>
          <w:p>
            <w:pPr>
              <w:widowControl/>
              <w:snapToGrid w:val="0"/>
              <w:rPr>
                <w:rFonts w:hint="eastAsia" w:eastAsia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（1）投标报价超过采购预算的，投标无效，未超过采购预算的投标报价按以下公式进行计算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widowControl/>
              <w:snapToGrid w:val="0"/>
              <w:rPr>
                <w:rFonts w:hint="default" w:eastAsia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（2）投标报价得分=（评标基准价/投标报价）×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val="en-US" w:eastAsia="zh-CN"/>
              </w:rPr>
              <w:t>20；</w:t>
            </w:r>
          </w:p>
          <w:p>
            <w:pPr>
              <w:widowControl/>
              <w:snapToGrid w:val="0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注：满足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  <w:t>本项目需求书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要求且投标报价最低的投标报价为评标基准价。</w:t>
            </w:r>
          </w:p>
        </w:tc>
        <w:tc>
          <w:tcPr>
            <w:tcW w:w="835" w:type="dxa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1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bCs/>
                <w:color w:val="000000"/>
                <w:sz w:val="28"/>
                <w:szCs w:val="24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供应商履约能力</w:t>
            </w:r>
          </w:p>
        </w:tc>
        <w:tc>
          <w:tcPr>
            <w:tcW w:w="5540" w:type="dxa"/>
            <w:vAlign w:val="center"/>
          </w:tcPr>
          <w:p>
            <w:pPr>
              <w:widowControl/>
              <w:snapToGrid w:val="0"/>
              <w:rPr>
                <w:rFonts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  <w:t>按照以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下要求提</w:t>
            </w:r>
            <w:r>
              <w:rPr>
                <w:rFonts w:hint="default"/>
                <w:color w:val="000000"/>
                <w:kern w:val="0"/>
                <w:sz w:val="28"/>
                <w:szCs w:val="28"/>
              </w:rPr>
              <w:t>供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  <w:t>网站监测服务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的业绩，提供的证明材料均不得遮挡涂黑，否则不予认定加分。具体要求如下：</w:t>
            </w:r>
          </w:p>
          <w:p>
            <w:pPr>
              <w:widowControl/>
              <w:snapToGrid w:val="0"/>
              <w:rPr>
                <w:rFonts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合同扫描件，包括合同金额、买卖双方名称及盖章、服务内容、合同签订时间（应为2019年1月1日或以后）。</w:t>
            </w:r>
          </w:p>
          <w:p>
            <w:pPr>
              <w:widowControl/>
              <w:snapToGrid w:val="0"/>
              <w:rPr>
                <w:rFonts w:hint="default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每个业绩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分，最多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分</w:t>
            </w:r>
          </w:p>
        </w:tc>
        <w:tc>
          <w:tcPr>
            <w:tcW w:w="835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val="en-US" w:eastAsia="zh-CN"/>
              </w:rPr>
              <w:t>15分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  <w:jc w:val="center"/>
        </w:trPr>
        <w:tc>
          <w:tcPr>
            <w:tcW w:w="451" w:type="dxa"/>
            <w:vAlign w:val="center"/>
          </w:tcPr>
          <w:p>
            <w:pPr>
              <w:snapToGrid w:val="0"/>
              <w:jc w:val="center"/>
              <w:rPr>
                <w:rFonts w:hint="default"/>
                <w:bCs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8"/>
                <w:szCs w:val="24"/>
                <w:lang w:val="en-US" w:eastAsia="zh-CN"/>
              </w:rPr>
              <w:t>3</w:t>
            </w:r>
          </w:p>
        </w:tc>
        <w:tc>
          <w:tcPr>
            <w:tcW w:w="1696" w:type="dxa"/>
            <w:vAlign w:val="center"/>
          </w:tcPr>
          <w:p>
            <w:pPr>
              <w:snapToGrid w:val="0"/>
              <w:rPr>
                <w:rFonts w:hint="default"/>
                <w:bCs/>
                <w:color w:val="000000"/>
                <w:sz w:val="28"/>
                <w:szCs w:val="24"/>
                <w:lang w:eastAsia="zh-CN"/>
              </w:rPr>
            </w:pPr>
            <w:r>
              <w:rPr>
                <w:rFonts w:hint="default"/>
                <w:bCs/>
                <w:color w:val="000000"/>
                <w:sz w:val="28"/>
                <w:szCs w:val="24"/>
                <w:lang w:eastAsia="zh-CN"/>
              </w:rPr>
              <w:t>需求分析</w:t>
            </w:r>
          </w:p>
        </w:tc>
        <w:tc>
          <w:tcPr>
            <w:tcW w:w="5540" w:type="dxa"/>
            <w:vAlign w:val="center"/>
          </w:tcPr>
          <w:p>
            <w:pPr>
              <w:numPr>
                <w:ilvl w:val="0"/>
                <w:numId w:val="0"/>
              </w:numPr>
              <w:snapToGrid w:val="0"/>
              <w:rPr>
                <w:rFonts w:hint="default"/>
                <w:bCs/>
                <w:color w:val="000000"/>
                <w:sz w:val="28"/>
                <w:szCs w:val="24"/>
                <w:lang w:eastAsia="zh-CN"/>
              </w:rPr>
            </w:pPr>
            <w:r>
              <w:rPr>
                <w:rFonts w:hint="default"/>
                <w:bCs/>
                <w:color w:val="000000"/>
                <w:sz w:val="28"/>
                <w:szCs w:val="24"/>
                <w:lang w:eastAsia="zh-CN"/>
              </w:rPr>
              <w:t>1.对项目背景及采购人实际需求理解清晰，分析透彻，得</w:t>
            </w:r>
            <w:r>
              <w:rPr>
                <w:rFonts w:hint="eastAsia"/>
                <w:bCs/>
                <w:color w:val="000000"/>
                <w:sz w:val="28"/>
                <w:szCs w:val="24"/>
                <w:lang w:val="en-US" w:eastAsia="zh-CN"/>
              </w:rPr>
              <w:t>10</w:t>
            </w:r>
            <w:r>
              <w:rPr>
                <w:rFonts w:hint="default"/>
                <w:bCs/>
                <w:color w:val="000000"/>
                <w:sz w:val="28"/>
                <w:szCs w:val="24"/>
                <w:lang w:eastAsia="zh-CN"/>
              </w:rPr>
              <w:t>分；</w:t>
            </w:r>
          </w:p>
          <w:p>
            <w:pPr>
              <w:numPr>
                <w:ilvl w:val="0"/>
                <w:numId w:val="0"/>
              </w:numPr>
              <w:snapToGrid w:val="0"/>
              <w:rPr>
                <w:rFonts w:hint="default"/>
                <w:bCs/>
                <w:color w:val="000000"/>
                <w:sz w:val="28"/>
                <w:szCs w:val="24"/>
                <w:lang w:eastAsia="zh-CN"/>
              </w:rPr>
            </w:pPr>
            <w:r>
              <w:rPr>
                <w:rFonts w:hint="default"/>
                <w:bCs/>
                <w:color w:val="000000"/>
                <w:sz w:val="28"/>
                <w:szCs w:val="24"/>
                <w:lang w:eastAsia="zh-CN"/>
              </w:rPr>
              <w:t>2.对项目背景及采购人实际需求理解较清晰，分析较透彻，得</w:t>
            </w:r>
            <w:r>
              <w:rPr>
                <w:rFonts w:hint="eastAsia"/>
                <w:bCs/>
                <w:color w:val="000000"/>
                <w:sz w:val="28"/>
                <w:szCs w:val="24"/>
                <w:lang w:val="en-US" w:eastAsia="zh-CN"/>
              </w:rPr>
              <w:t>7</w:t>
            </w:r>
            <w:r>
              <w:rPr>
                <w:rFonts w:hint="default"/>
                <w:bCs/>
                <w:color w:val="000000"/>
                <w:sz w:val="28"/>
                <w:szCs w:val="24"/>
                <w:lang w:eastAsia="zh-CN"/>
              </w:rPr>
              <w:t>分；</w:t>
            </w:r>
          </w:p>
          <w:p>
            <w:pPr>
              <w:numPr>
                <w:ilvl w:val="0"/>
                <w:numId w:val="0"/>
              </w:numPr>
              <w:snapToGrid w:val="0"/>
              <w:rPr>
                <w:rFonts w:hint="default"/>
                <w:bCs/>
                <w:color w:val="000000"/>
                <w:sz w:val="28"/>
                <w:szCs w:val="24"/>
                <w:lang w:eastAsia="zh-CN"/>
              </w:rPr>
            </w:pPr>
            <w:r>
              <w:rPr>
                <w:rFonts w:hint="default"/>
                <w:bCs/>
                <w:color w:val="000000"/>
                <w:sz w:val="28"/>
                <w:szCs w:val="24"/>
                <w:lang w:eastAsia="zh-CN"/>
              </w:rPr>
              <w:t>3.对项目背景及采购人实际需求理解一般，分析不透彻，得</w:t>
            </w:r>
            <w:r>
              <w:rPr>
                <w:rFonts w:hint="eastAsia"/>
                <w:bCs/>
                <w:color w:val="000000"/>
                <w:sz w:val="28"/>
                <w:szCs w:val="24"/>
                <w:lang w:val="en-US" w:eastAsia="zh-CN"/>
              </w:rPr>
              <w:t>4</w:t>
            </w:r>
            <w:r>
              <w:rPr>
                <w:rFonts w:hint="default"/>
                <w:bCs/>
                <w:color w:val="000000"/>
                <w:sz w:val="28"/>
                <w:szCs w:val="24"/>
                <w:lang w:eastAsia="zh-CN"/>
              </w:rPr>
              <w:t>分；</w:t>
            </w:r>
          </w:p>
          <w:p>
            <w:pPr>
              <w:numPr>
                <w:ilvl w:val="0"/>
                <w:numId w:val="0"/>
              </w:numPr>
              <w:snapToGrid w:val="0"/>
              <w:rPr>
                <w:rFonts w:hint="default"/>
                <w:bCs/>
                <w:color w:val="000000"/>
                <w:sz w:val="28"/>
                <w:szCs w:val="24"/>
                <w:lang w:eastAsia="zh-CN"/>
              </w:rPr>
            </w:pPr>
            <w:r>
              <w:rPr>
                <w:rFonts w:hint="eastAsia"/>
                <w:bCs/>
                <w:color w:val="000000"/>
                <w:sz w:val="28"/>
                <w:szCs w:val="24"/>
                <w:lang w:val="en-US" w:eastAsia="zh-CN"/>
              </w:rPr>
              <w:t>未提供</w:t>
            </w:r>
            <w:r>
              <w:rPr>
                <w:rFonts w:hint="default"/>
                <w:bCs/>
                <w:color w:val="000000"/>
                <w:sz w:val="28"/>
                <w:szCs w:val="24"/>
                <w:lang w:eastAsia="zh-CN"/>
              </w:rPr>
              <w:t>此项</w:t>
            </w:r>
            <w:r>
              <w:rPr>
                <w:rFonts w:hint="eastAsia"/>
                <w:bCs/>
                <w:color w:val="000000"/>
                <w:sz w:val="28"/>
                <w:szCs w:val="24"/>
                <w:lang w:val="en-US" w:eastAsia="zh-CN"/>
              </w:rPr>
              <w:t>的，</w:t>
            </w:r>
            <w:r>
              <w:rPr>
                <w:rFonts w:hint="default"/>
                <w:bCs/>
                <w:color w:val="000000"/>
                <w:sz w:val="28"/>
                <w:szCs w:val="24"/>
                <w:lang w:eastAsia="zh-CN"/>
              </w:rPr>
              <w:t>得</w:t>
            </w:r>
            <w:r>
              <w:rPr>
                <w:rFonts w:hint="eastAsia"/>
                <w:bCs/>
                <w:color w:val="000000"/>
                <w:sz w:val="28"/>
                <w:szCs w:val="24"/>
                <w:lang w:val="en-US" w:eastAsia="zh-CN"/>
              </w:rPr>
              <w:t>0分</w:t>
            </w:r>
            <w:r>
              <w:rPr>
                <w:rFonts w:hint="default"/>
                <w:bCs/>
                <w:color w:val="000000"/>
                <w:sz w:val="28"/>
                <w:szCs w:val="24"/>
                <w:lang w:eastAsia="zh-CN"/>
              </w:rPr>
              <w:t xml:space="preserve">。                    </w:t>
            </w:r>
          </w:p>
        </w:tc>
        <w:tc>
          <w:tcPr>
            <w:tcW w:w="835" w:type="dxa"/>
            <w:vAlign w:val="center"/>
          </w:tcPr>
          <w:p>
            <w:pPr>
              <w:snapToGrid w:val="0"/>
              <w:rPr>
                <w:rFonts w:hint="default"/>
                <w:bCs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val="en-US" w:eastAsia="zh-CN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  <w:jc w:val="center"/>
        </w:trPr>
        <w:tc>
          <w:tcPr>
            <w:tcW w:w="451" w:type="dxa"/>
            <w:vAlign w:val="center"/>
          </w:tcPr>
          <w:p>
            <w:pPr>
              <w:snapToGrid w:val="0"/>
              <w:jc w:val="center"/>
              <w:rPr>
                <w:rFonts w:hint="default"/>
                <w:bCs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8"/>
                <w:szCs w:val="24"/>
                <w:lang w:val="en-US" w:eastAsia="zh-CN"/>
              </w:rPr>
              <w:t>4</w:t>
            </w:r>
          </w:p>
        </w:tc>
        <w:tc>
          <w:tcPr>
            <w:tcW w:w="1696" w:type="dxa"/>
            <w:vAlign w:val="center"/>
          </w:tcPr>
          <w:p>
            <w:pPr>
              <w:snapToGrid w:val="0"/>
              <w:jc w:val="center"/>
              <w:rPr>
                <w:rFonts w:hint="default"/>
                <w:bCs/>
                <w:color w:val="000000"/>
                <w:sz w:val="28"/>
                <w:szCs w:val="24"/>
                <w:lang w:eastAsia="zh-CN"/>
              </w:rPr>
            </w:pPr>
            <w:r>
              <w:rPr>
                <w:rFonts w:hint="default"/>
                <w:bCs/>
                <w:color w:val="000000"/>
                <w:sz w:val="28"/>
                <w:szCs w:val="24"/>
                <w:lang w:eastAsia="zh-CN"/>
              </w:rPr>
              <w:t>项目总体方案</w:t>
            </w:r>
          </w:p>
        </w:tc>
        <w:tc>
          <w:tcPr>
            <w:tcW w:w="5540" w:type="dxa"/>
            <w:vAlign w:val="center"/>
          </w:tcPr>
          <w:p>
            <w:pPr>
              <w:snapToGrid w:val="0"/>
              <w:rPr>
                <w:rFonts w:hint="eastAsia"/>
                <w:bCs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default"/>
                <w:bCs/>
                <w:color w:val="000000"/>
                <w:sz w:val="28"/>
                <w:szCs w:val="24"/>
                <w:lang w:eastAsia="zh-CN"/>
              </w:rPr>
              <w:t>1.总体描述详细、清晰，科学、合理，思路先进，得</w:t>
            </w:r>
            <w:r>
              <w:rPr>
                <w:rFonts w:hint="default"/>
                <w:bCs/>
                <w:color w:val="000000"/>
                <w:sz w:val="28"/>
                <w:szCs w:val="24"/>
                <w:lang w:val="en-US" w:eastAsia="zh-CN"/>
              </w:rPr>
              <w:t>1</w:t>
            </w:r>
            <w:r>
              <w:rPr>
                <w:rFonts w:hint="eastAsia"/>
                <w:bCs/>
                <w:color w:val="000000"/>
                <w:sz w:val="28"/>
                <w:szCs w:val="24"/>
                <w:lang w:val="en-US" w:eastAsia="zh-CN"/>
              </w:rPr>
              <w:t>5分；</w:t>
            </w:r>
          </w:p>
          <w:p>
            <w:pPr>
              <w:snapToGrid w:val="0"/>
              <w:rPr>
                <w:rFonts w:hint="eastAsia"/>
                <w:bCs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default"/>
                <w:bCs/>
                <w:color w:val="000000"/>
                <w:sz w:val="28"/>
                <w:szCs w:val="24"/>
                <w:lang w:eastAsia="zh-CN"/>
              </w:rPr>
              <w:t>2.方案描述清晰程度较好，设计较合理，针对性较强，得</w:t>
            </w:r>
            <w:r>
              <w:rPr>
                <w:rFonts w:hint="eastAsia"/>
                <w:bCs/>
                <w:color w:val="000000"/>
                <w:sz w:val="28"/>
                <w:szCs w:val="24"/>
                <w:lang w:val="en-US" w:eastAsia="zh-CN"/>
              </w:rPr>
              <w:t xml:space="preserve">10分； </w:t>
            </w:r>
          </w:p>
          <w:p>
            <w:pPr>
              <w:snapToGrid w:val="0"/>
              <w:rPr>
                <w:rFonts w:hint="eastAsia"/>
                <w:bCs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default"/>
                <w:bCs/>
                <w:color w:val="000000"/>
                <w:sz w:val="28"/>
                <w:szCs w:val="24"/>
                <w:lang w:eastAsia="zh-CN"/>
              </w:rPr>
              <w:t>3.方案描述清晰程度一般，设计基本合理，针对性一般，得</w:t>
            </w:r>
            <w:r>
              <w:rPr>
                <w:rFonts w:hint="eastAsia"/>
                <w:bCs/>
                <w:color w:val="000000"/>
                <w:sz w:val="28"/>
                <w:szCs w:val="24"/>
                <w:lang w:val="en-US" w:eastAsia="zh-CN"/>
              </w:rPr>
              <w:t xml:space="preserve">5分； </w:t>
            </w:r>
          </w:p>
          <w:p>
            <w:pPr>
              <w:snapToGrid w:val="0"/>
              <w:rPr>
                <w:rFonts w:hint="default"/>
                <w:lang w:eastAsia="zh-CN"/>
              </w:rPr>
            </w:pPr>
            <w:r>
              <w:rPr>
                <w:rFonts w:hint="eastAsia"/>
                <w:bCs/>
                <w:color w:val="000000"/>
                <w:sz w:val="28"/>
                <w:szCs w:val="24"/>
                <w:lang w:val="en-US" w:eastAsia="zh-CN"/>
              </w:rPr>
              <w:t>未提供方案的，</w:t>
            </w:r>
            <w:r>
              <w:rPr>
                <w:rFonts w:hint="default"/>
                <w:bCs/>
                <w:color w:val="000000"/>
                <w:sz w:val="28"/>
                <w:szCs w:val="24"/>
                <w:lang w:eastAsia="zh-CN"/>
              </w:rPr>
              <w:t>得</w:t>
            </w:r>
            <w:r>
              <w:rPr>
                <w:rFonts w:hint="eastAsia"/>
                <w:bCs/>
                <w:color w:val="000000"/>
                <w:sz w:val="28"/>
                <w:szCs w:val="24"/>
                <w:lang w:val="en-US" w:eastAsia="zh-CN"/>
              </w:rPr>
              <w:t>0分</w:t>
            </w:r>
            <w:r>
              <w:rPr>
                <w:rFonts w:hint="default"/>
                <w:bCs/>
                <w:color w:val="000000"/>
                <w:sz w:val="28"/>
                <w:szCs w:val="24"/>
                <w:lang w:eastAsia="zh-CN"/>
              </w:rPr>
              <w:t>。</w:t>
            </w:r>
          </w:p>
        </w:tc>
        <w:tc>
          <w:tcPr>
            <w:tcW w:w="835" w:type="dxa"/>
            <w:vAlign w:val="center"/>
          </w:tcPr>
          <w:p>
            <w:pPr>
              <w:snapToGrid w:val="0"/>
              <w:rPr>
                <w:rFonts w:hint="default"/>
                <w:bCs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8"/>
                <w:szCs w:val="24"/>
                <w:lang w:val="en-US" w:eastAsia="zh-CN"/>
              </w:rPr>
              <w:t>15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val="en-US" w:eastAsia="zh-CN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  <w:jc w:val="center"/>
        </w:trPr>
        <w:tc>
          <w:tcPr>
            <w:tcW w:w="451" w:type="dxa"/>
            <w:vAlign w:val="center"/>
          </w:tcPr>
          <w:p>
            <w:pPr>
              <w:snapToGrid w:val="0"/>
              <w:jc w:val="center"/>
              <w:rPr>
                <w:rFonts w:hint="default"/>
                <w:bCs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8"/>
                <w:szCs w:val="24"/>
                <w:lang w:val="en-US" w:eastAsia="zh-CN"/>
              </w:rPr>
              <w:t>5</w:t>
            </w:r>
          </w:p>
        </w:tc>
        <w:tc>
          <w:tcPr>
            <w:tcW w:w="1696" w:type="dxa"/>
            <w:vAlign w:val="center"/>
          </w:tcPr>
          <w:p>
            <w:pPr>
              <w:snapToGrid w:val="0"/>
              <w:jc w:val="center"/>
              <w:rPr>
                <w:rFonts w:hint="default"/>
                <w:bCs/>
                <w:color w:val="000000"/>
                <w:sz w:val="28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突发事件应急和处理方案</w:t>
            </w:r>
          </w:p>
        </w:tc>
        <w:tc>
          <w:tcPr>
            <w:tcW w:w="5540" w:type="dxa"/>
            <w:vAlign w:val="center"/>
          </w:tcPr>
          <w:p>
            <w:pPr>
              <w:snapToGrid w:val="0"/>
              <w:rPr>
                <w:rFonts w:hint="eastAsia"/>
                <w:bCs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8"/>
                <w:szCs w:val="24"/>
                <w:lang w:val="en-US" w:eastAsia="zh-CN"/>
              </w:rPr>
              <w:t>结合本项目要求，提供详细的方案</w:t>
            </w:r>
          </w:p>
          <w:p>
            <w:pPr>
              <w:snapToGrid w:val="0"/>
              <w:rPr>
                <w:rFonts w:hint="eastAsia"/>
                <w:bCs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8"/>
                <w:szCs w:val="24"/>
                <w:lang w:val="en-US" w:eastAsia="zh-CN"/>
              </w:rPr>
              <w:t>1.方案安排合理，切实完全可行：10分；</w:t>
            </w:r>
          </w:p>
          <w:p>
            <w:pPr>
              <w:snapToGrid w:val="0"/>
              <w:rPr>
                <w:rFonts w:hint="eastAsia"/>
                <w:bCs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8"/>
                <w:szCs w:val="24"/>
                <w:lang w:val="en-US" w:eastAsia="zh-CN"/>
              </w:rPr>
              <w:t>2.方案安排较合理，可行性较好：7分；</w:t>
            </w:r>
          </w:p>
          <w:p>
            <w:pPr>
              <w:snapToGrid w:val="0"/>
              <w:rPr>
                <w:rFonts w:hint="default"/>
                <w:bCs/>
                <w:color w:val="000000"/>
                <w:sz w:val="28"/>
                <w:szCs w:val="24"/>
                <w:lang w:eastAsia="zh-CN"/>
              </w:rPr>
            </w:pPr>
            <w:r>
              <w:rPr>
                <w:rFonts w:hint="eastAsia"/>
                <w:bCs/>
                <w:color w:val="000000"/>
                <w:sz w:val="28"/>
                <w:szCs w:val="24"/>
                <w:lang w:val="en-US" w:eastAsia="zh-CN"/>
              </w:rPr>
              <w:t>3.方案安排一般合理，可行性一般：4分 ；未提供方案的，</w:t>
            </w:r>
            <w:r>
              <w:rPr>
                <w:rFonts w:hint="default"/>
                <w:bCs/>
                <w:color w:val="000000"/>
                <w:sz w:val="28"/>
                <w:szCs w:val="24"/>
                <w:lang w:eastAsia="zh-CN"/>
              </w:rPr>
              <w:t>得</w:t>
            </w:r>
            <w:r>
              <w:rPr>
                <w:rFonts w:hint="eastAsia"/>
                <w:bCs/>
                <w:color w:val="000000"/>
                <w:sz w:val="28"/>
                <w:szCs w:val="24"/>
                <w:lang w:val="en-US" w:eastAsia="zh-CN"/>
              </w:rPr>
              <w:t>0分</w:t>
            </w:r>
            <w:r>
              <w:rPr>
                <w:rFonts w:hint="default"/>
                <w:bCs/>
                <w:color w:val="000000"/>
                <w:sz w:val="28"/>
                <w:szCs w:val="24"/>
                <w:lang w:eastAsia="zh-CN"/>
              </w:rPr>
              <w:t>。</w:t>
            </w:r>
          </w:p>
        </w:tc>
        <w:tc>
          <w:tcPr>
            <w:tcW w:w="835" w:type="dxa"/>
            <w:vAlign w:val="center"/>
          </w:tcPr>
          <w:p>
            <w:pPr>
              <w:snapToGrid w:val="0"/>
              <w:rPr>
                <w:rFonts w:hint="default"/>
                <w:bCs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val="en-US" w:eastAsia="zh-CN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  <w:jc w:val="center"/>
        </w:trPr>
        <w:tc>
          <w:tcPr>
            <w:tcW w:w="451" w:type="dxa"/>
            <w:vAlign w:val="center"/>
          </w:tcPr>
          <w:p>
            <w:pPr>
              <w:snapToGrid w:val="0"/>
              <w:rPr>
                <w:rFonts w:hint="default"/>
                <w:bCs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8"/>
                <w:szCs w:val="24"/>
                <w:lang w:val="en-US" w:eastAsia="zh-CN"/>
              </w:rPr>
              <w:t>6</w:t>
            </w:r>
          </w:p>
        </w:tc>
        <w:tc>
          <w:tcPr>
            <w:tcW w:w="1696" w:type="dxa"/>
            <w:vAlign w:val="center"/>
          </w:tcPr>
          <w:p>
            <w:pPr>
              <w:pStyle w:val="3"/>
              <w:jc w:val="center"/>
              <w:rPr>
                <w:rFonts w:hint="default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kern w:val="2"/>
                <w:sz w:val="28"/>
                <w:szCs w:val="28"/>
                <w:lang w:val="en-US" w:eastAsia="zh-CN" w:bidi="ar-SA"/>
              </w:rPr>
              <w:t>本地化服务能力</w:t>
            </w:r>
          </w:p>
        </w:tc>
        <w:tc>
          <w:tcPr>
            <w:tcW w:w="5540" w:type="dxa"/>
            <w:vAlign w:val="center"/>
          </w:tcPr>
          <w:p>
            <w:pPr>
              <w:snapToGrid w:val="0"/>
              <w:rPr>
                <w:rFonts w:hint="default" w:eastAsia="宋体" w:cs="Times New Roman"/>
                <w:bCs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default" w:eastAsia="宋体" w:cs="Times New Roman"/>
                <w:bCs/>
                <w:color w:val="000000"/>
                <w:sz w:val="28"/>
                <w:szCs w:val="24"/>
                <w:lang w:val="en-US" w:eastAsia="zh-CN"/>
              </w:rPr>
              <w:t xml:space="preserve">供应商在天津市注册或在天津市范围内设有办事处及办事人员，具备本地化服务能力及媒体资源优势的：得5分 </w:t>
            </w:r>
            <w:r>
              <w:rPr>
                <w:rFonts w:hint="eastAsia" w:eastAsia="宋体" w:cs="Times New Roman"/>
                <w:bCs/>
                <w:color w:val="000000"/>
                <w:sz w:val="28"/>
                <w:szCs w:val="24"/>
                <w:lang w:val="en-US" w:eastAsia="zh-CN"/>
              </w:rPr>
              <w:t>。</w:t>
            </w:r>
          </w:p>
          <w:p>
            <w:pPr>
              <w:snapToGrid w:val="0"/>
              <w:rPr>
                <w:rFonts w:hint="default"/>
                <w:lang w:eastAsia="zh-CN"/>
              </w:rPr>
            </w:pPr>
            <w:r>
              <w:rPr>
                <w:rFonts w:hint="default" w:eastAsia="宋体" w:cs="Times New Roman"/>
                <w:bCs/>
                <w:color w:val="000000"/>
                <w:sz w:val="28"/>
                <w:szCs w:val="24"/>
                <w:lang w:val="en-US" w:eastAsia="zh-CN"/>
              </w:rPr>
              <w:t>注：须提供营业执照或租赁协议、其他证明文件及说明，未提供的不予认定。</w:t>
            </w:r>
          </w:p>
        </w:tc>
        <w:tc>
          <w:tcPr>
            <w:tcW w:w="835" w:type="dxa"/>
            <w:vAlign w:val="center"/>
          </w:tcPr>
          <w:p>
            <w:pPr>
              <w:snapToGrid w:val="0"/>
              <w:rPr>
                <w:rFonts w:hint="default"/>
                <w:bCs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8"/>
                <w:szCs w:val="24"/>
                <w:lang w:val="en-US" w:eastAsia="zh-CN"/>
              </w:rPr>
              <w:t>5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val="en-US" w:eastAsia="zh-CN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451" w:type="dxa"/>
            <w:vAlign w:val="center"/>
          </w:tcPr>
          <w:p>
            <w:pPr>
              <w:snapToGrid w:val="0"/>
              <w:rPr>
                <w:rFonts w:hint="default"/>
                <w:bCs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8"/>
                <w:szCs w:val="24"/>
                <w:lang w:val="en-US" w:eastAsia="zh-CN"/>
              </w:rPr>
              <w:t>7</w:t>
            </w:r>
          </w:p>
        </w:tc>
        <w:tc>
          <w:tcPr>
            <w:tcW w:w="1696" w:type="dxa"/>
            <w:vAlign w:val="center"/>
          </w:tcPr>
          <w:p>
            <w:pPr>
              <w:snapToGrid w:val="0"/>
              <w:jc w:val="center"/>
              <w:rPr>
                <w:rFonts w:hint="default"/>
                <w:bCs/>
                <w:color w:val="000000"/>
                <w:sz w:val="28"/>
                <w:szCs w:val="24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kern w:val="2"/>
                <w:sz w:val="28"/>
                <w:szCs w:val="28"/>
                <w:lang w:val="en-US" w:eastAsia="zh-CN" w:bidi="ar-SA"/>
              </w:rPr>
              <w:t>组织措施和安全保密方案</w:t>
            </w:r>
          </w:p>
        </w:tc>
        <w:tc>
          <w:tcPr>
            <w:tcW w:w="5540" w:type="dxa"/>
            <w:vAlign w:val="center"/>
          </w:tcPr>
          <w:p>
            <w:pPr>
              <w:snapToGrid w:val="0"/>
              <w:rPr>
                <w:rFonts w:hint="default" w:eastAsia="宋体" w:cs="Times New Roman"/>
                <w:bCs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bCs/>
                <w:color w:val="000000"/>
                <w:sz w:val="28"/>
                <w:szCs w:val="24"/>
                <w:lang w:val="en-US" w:eastAsia="zh-CN"/>
              </w:rPr>
              <w:t>根据本项目采购需求提供组织措施和安全保密方案</w:t>
            </w:r>
            <w:r>
              <w:rPr>
                <w:rFonts w:hint="default" w:eastAsia="宋体" w:cs="Times New Roman"/>
                <w:bCs/>
                <w:color w:val="000000"/>
                <w:sz w:val="28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宋体" w:cs="Times New Roman"/>
                <w:bCs/>
                <w:color w:val="000000"/>
                <w:sz w:val="28"/>
                <w:szCs w:val="24"/>
                <w:lang w:val="en-US" w:eastAsia="zh-CN"/>
              </w:rPr>
              <w:t>。</w:t>
            </w:r>
          </w:p>
          <w:p>
            <w:pPr>
              <w:snapToGrid w:val="0"/>
              <w:rPr>
                <w:rFonts w:hint="default" w:eastAsia="宋体" w:cs="Times New Roman"/>
                <w:bCs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bCs/>
                <w:color w:val="000000"/>
                <w:sz w:val="28"/>
                <w:szCs w:val="24"/>
                <w:lang w:val="en-US" w:eastAsia="zh-CN"/>
              </w:rPr>
              <w:t>方案完全切实可行，针对性、可操作性很强：</w:t>
            </w:r>
            <w:r>
              <w:rPr>
                <w:rFonts w:hint="default" w:eastAsia="宋体" w:cs="Times New Roman"/>
                <w:bCs/>
                <w:color w:val="000000"/>
                <w:sz w:val="28"/>
                <w:szCs w:val="24"/>
                <w:lang w:val="en-US" w:eastAsia="zh-CN"/>
              </w:rPr>
              <w:t xml:space="preserve">15 分 </w:t>
            </w:r>
            <w:r>
              <w:rPr>
                <w:rFonts w:hint="eastAsia" w:eastAsia="宋体" w:cs="Times New Roman"/>
                <w:bCs/>
                <w:color w:val="000000"/>
                <w:sz w:val="28"/>
                <w:szCs w:val="24"/>
                <w:lang w:val="en-US" w:eastAsia="zh-CN"/>
              </w:rPr>
              <w:t>；</w:t>
            </w:r>
          </w:p>
          <w:p>
            <w:pPr>
              <w:snapToGrid w:val="0"/>
              <w:rPr>
                <w:rFonts w:hint="default" w:eastAsia="宋体" w:cs="Times New Roman"/>
                <w:bCs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bCs/>
                <w:color w:val="000000"/>
                <w:sz w:val="28"/>
                <w:szCs w:val="24"/>
                <w:lang w:val="en-US" w:eastAsia="zh-CN"/>
              </w:rPr>
              <w:t>方案可行性较好，针对性、可操作性较合理：</w:t>
            </w:r>
            <w:r>
              <w:rPr>
                <w:rFonts w:hint="default" w:eastAsia="宋体" w:cs="Times New Roman"/>
                <w:bCs/>
                <w:color w:val="000000"/>
                <w:sz w:val="28"/>
                <w:szCs w:val="24"/>
                <w:lang w:val="en-US" w:eastAsia="zh-CN"/>
              </w:rPr>
              <w:t xml:space="preserve">10分 </w:t>
            </w:r>
            <w:r>
              <w:rPr>
                <w:rFonts w:hint="eastAsia" w:eastAsia="宋体" w:cs="Times New Roman"/>
                <w:bCs/>
                <w:color w:val="000000"/>
                <w:sz w:val="28"/>
                <w:szCs w:val="24"/>
                <w:lang w:val="en-US" w:eastAsia="zh-CN"/>
              </w:rPr>
              <w:t>；</w:t>
            </w:r>
          </w:p>
          <w:p>
            <w:pPr>
              <w:snapToGrid w:val="0"/>
              <w:rPr>
                <w:rFonts w:hint="eastAsia" w:eastAsia="宋体" w:cs="Times New Roman"/>
                <w:bCs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bCs/>
                <w:color w:val="000000"/>
                <w:sz w:val="28"/>
                <w:szCs w:val="24"/>
                <w:lang w:val="en-US" w:eastAsia="zh-CN"/>
              </w:rPr>
              <w:t>方案可行性一般，针对性、可操作性一般：</w:t>
            </w:r>
            <w:r>
              <w:rPr>
                <w:rFonts w:hint="default" w:eastAsia="宋体" w:cs="Times New Roman"/>
                <w:bCs/>
                <w:color w:val="000000"/>
                <w:sz w:val="28"/>
                <w:szCs w:val="24"/>
                <w:lang w:val="en-US" w:eastAsia="zh-CN"/>
              </w:rPr>
              <w:t>5 分</w:t>
            </w:r>
            <w:r>
              <w:rPr>
                <w:rFonts w:hint="eastAsia" w:eastAsia="宋体" w:cs="Times New Roman"/>
                <w:bCs/>
                <w:color w:val="000000"/>
                <w:sz w:val="28"/>
                <w:szCs w:val="24"/>
                <w:lang w:val="en-US" w:eastAsia="zh-CN"/>
              </w:rPr>
              <w:t>；</w:t>
            </w:r>
          </w:p>
          <w:p>
            <w:pPr>
              <w:snapToGrid w:val="0"/>
              <w:rPr>
                <w:rFonts w:hint="default"/>
                <w:bCs/>
                <w:color w:val="000000"/>
                <w:sz w:val="28"/>
                <w:szCs w:val="24"/>
                <w:lang w:eastAsia="zh-CN"/>
              </w:rPr>
            </w:pPr>
            <w:r>
              <w:rPr>
                <w:rFonts w:hint="eastAsia"/>
                <w:bCs/>
                <w:color w:val="000000"/>
                <w:sz w:val="28"/>
                <w:szCs w:val="24"/>
                <w:lang w:val="en-US" w:eastAsia="zh-CN"/>
              </w:rPr>
              <w:t>未提供方案的，</w:t>
            </w:r>
            <w:r>
              <w:rPr>
                <w:rFonts w:hint="default"/>
                <w:bCs/>
                <w:color w:val="000000"/>
                <w:sz w:val="28"/>
                <w:szCs w:val="24"/>
                <w:lang w:eastAsia="zh-CN"/>
              </w:rPr>
              <w:t>得</w:t>
            </w:r>
            <w:r>
              <w:rPr>
                <w:rFonts w:hint="eastAsia"/>
                <w:bCs/>
                <w:color w:val="000000"/>
                <w:sz w:val="28"/>
                <w:szCs w:val="24"/>
                <w:lang w:val="en-US" w:eastAsia="zh-CN"/>
              </w:rPr>
              <w:t>0分</w:t>
            </w:r>
            <w:r>
              <w:rPr>
                <w:rFonts w:hint="default"/>
                <w:bCs/>
                <w:color w:val="000000"/>
                <w:sz w:val="28"/>
                <w:szCs w:val="24"/>
                <w:lang w:eastAsia="zh-CN"/>
              </w:rPr>
              <w:t>。</w:t>
            </w:r>
          </w:p>
        </w:tc>
        <w:tc>
          <w:tcPr>
            <w:tcW w:w="835" w:type="dxa"/>
            <w:vAlign w:val="center"/>
          </w:tcPr>
          <w:p>
            <w:pPr>
              <w:snapToGrid w:val="0"/>
              <w:rPr>
                <w:rFonts w:hint="default"/>
                <w:bCs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8"/>
                <w:szCs w:val="24"/>
                <w:lang w:val="en-US" w:eastAsia="zh-CN"/>
              </w:rPr>
              <w:t>15分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  <w:jc w:val="center"/>
        </w:trPr>
        <w:tc>
          <w:tcPr>
            <w:tcW w:w="451" w:type="dxa"/>
            <w:vAlign w:val="center"/>
          </w:tcPr>
          <w:p>
            <w:pPr>
              <w:snapToGrid w:val="0"/>
              <w:rPr>
                <w:rFonts w:hint="eastAsia" w:ascii="Calibri" w:hAnsi="Calibri" w:eastAsia="宋体" w:cs="Times New Roman"/>
                <w:bCs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color w:val="000000"/>
                <w:sz w:val="28"/>
                <w:szCs w:val="24"/>
                <w:lang w:val="en-US" w:eastAsia="zh-CN"/>
              </w:rPr>
              <w:t>8</w:t>
            </w:r>
          </w:p>
        </w:tc>
        <w:tc>
          <w:tcPr>
            <w:tcW w:w="1696" w:type="dxa"/>
            <w:vAlign w:val="center"/>
          </w:tcPr>
          <w:p>
            <w:pPr>
              <w:snapToGrid w:val="0"/>
              <w:jc w:val="center"/>
              <w:rPr>
                <w:rFonts w:hint="default" w:ascii="Calibri" w:hAnsi="Calibri" w:eastAsia="宋体" w:cs="Times New Roman"/>
                <w:bCs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default"/>
                <w:bCs/>
                <w:color w:val="000000"/>
                <w:sz w:val="28"/>
                <w:szCs w:val="24"/>
                <w:lang w:eastAsia="zh-CN"/>
              </w:rPr>
              <w:t>服务承诺及质量保障措施</w:t>
            </w:r>
          </w:p>
        </w:tc>
        <w:tc>
          <w:tcPr>
            <w:tcW w:w="5540" w:type="dxa"/>
            <w:vAlign w:val="center"/>
          </w:tcPr>
          <w:p>
            <w:pPr>
              <w:snapToGrid w:val="0"/>
              <w:rPr>
                <w:rFonts w:hint="eastAsia"/>
                <w:bCs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default"/>
                <w:bCs/>
                <w:color w:val="000000"/>
                <w:sz w:val="28"/>
                <w:szCs w:val="24"/>
                <w:lang w:eastAsia="zh-CN"/>
              </w:rPr>
              <w:t>1.服务承诺内容全面、切实可行，质量管理制度健全，保障措施全面，得</w:t>
            </w:r>
            <w:r>
              <w:rPr>
                <w:rFonts w:hint="default"/>
                <w:bCs/>
                <w:color w:val="000000"/>
                <w:sz w:val="28"/>
                <w:szCs w:val="24"/>
                <w:lang w:val="en-US" w:eastAsia="zh-CN"/>
              </w:rPr>
              <w:t>10</w:t>
            </w:r>
            <w:r>
              <w:rPr>
                <w:rFonts w:hint="eastAsia"/>
                <w:bCs/>
                <w:color w:val="000000"/>
                <w:sz w:val="28"/>
                <w:szCs w:val="24"/>
                <w:lang w:val="en-US" w:eastAsia="zh-CN"/>
              </w:rPr>
              <w:t>分；</w:t>
            </w:r>
          </w:p>
          <w:p>
            <w:pPr>
              <w:snapToGrid w:val="0"/>
              <w:rPr>
                <w:rFonts w:hint="eastAsia"/>
                <w:bCs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default"/>
                <w:bCs/>
                <w:color w:val="000000"/>
                <w:sz w:val="28"/>
                <w:szCs w:val="24"/>
                <w:lang w:eastAsia="zh-CN"/>
              </w:rPr>
              <w:t>2.服务承诺内容较全面、可行度较高，质量管理制度较健全，保障措施较全面，得</w:t>
            </w:r>
            <w:r>
              <w:rPr>
                <w:rFonts w:hint="default"/>
                <w:bCs/>
                <w:color w:val="000000"/>
                <w:sz w:val="28"/>
                <w:szCs w:val="24"/>
                <w:lang w:val="en-US" w:eastAsia="zh-CN"/>
              </w:rPr>
              <w:t>7</w:t>
            </w:r>
            <w:r>
              <w:rPr>
                <w:rFonts w:hint="eastAsia"/>
                <w:bCs/>
                <w:color w:val="000000"/>
                <w:sz w:val="28"/>
                <w:szCs w:val="24"/>
                <w:lang w:val="en-US" w:eastAsia="zh-CN"/>
              </w:rPr>
              <w:t xml:space="preserve">分； </w:t>
            </w:r>
          </w:p>
          <w:p>
            <w:pPr>
              <w:snapToGrid w:val="0"/>
              <w:rPr>
                <w:rFonts w:hint="eastAsia"/>
                <w:bCs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default"/>
                <w:bCs/>
                <w:color w:val="000000"/>
                <w:sz w:val="28"/>
                <w:szCs w:val="24"/>
                <w:lang w:eastAsia="zh-CN"/>
              </w:rPr>
              <w:t>3.服务承诺内容不够全面、可行性一般，质量管理制度不够健全，保障措施不够全面，得</w:t>
            </w:r>
            <w:r>
              <w:rPr>
                <w:rFonts w:hint="default"/>
                <w:bCs/>
                <w:color w:val="000000"/>
                <w:sz w:val="28"/>
                <w:szCs w:val="24"/>
                <w:lang w:val="en-US" w:eastAsia="zh-CN"/>
              </w:rPr>
              <w:t>4</w:t>
            </w:r>
            <w:r>
              <w:rPr>
                <w:rFonts w:hint="eastAsia"/>
                <w:bCs/>
                <w:color w:val="000000"/>
                <w:sz w:val="28"/>
                <w:szCs w:val="24"/>
                <w:lang w:val="en-US" w:eastAsia="zh-CN"/>
              </w:rPr>
              <w:t xml:space="preserve">分； </w:t>
            </w:r>
          </w:p>
          <w:p>
            <w:pPr>
              <w:snapToGrid w:val="0"/>
              <w:rPr>
                <w:rFonts w:hint="eastAsia" w:ascii="Calibri" w:hAnsi="Calibri" w:eastAsia="宋体" w:cs="Times New Roman"/>
                <w:bCs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/>
                <w:color w:val="000000"/>
                <w:kern w:val="2"/>
                <w:sz w:val="28"/>
                <w:szCs w:val="24"/>
                <w:lang w:val="en-US" w:eastAsia="zh-CN" w:bidi="ar-SA"/>
              </w:rPr>
              <w:t>未提供</w:t>
            </w:r>
            <w:r>
              <w:rPr>
                <w:rFonts w:hint="default" w:cs="Times New Roman"/>
                <w:b w:val="0"/>
                <w:bCs/>
                <w:color w:val="000000"/>
                <w:kern w:val="2"/>
                <w:sz w:val="28"/>
                <w:szCs w:val="24"/>
                <w:lang w:eastAsia="zh-CN" w:bidi="ar-SA"/>
              </w:rPr>
              <w:t>此项</w:t>
            </w:r>
            <w:r>
              <w:rPr>
                <w:rFonts w:hint="eastAsia" w:ascii="Calibri" w:hAnsi="Calibri" w:eastAsia="宋体" w:cs="Times New Roman"/>
                <w:b w:val="0"/>
                <w:bCs/>
                <w:color w:val="000000"/>
                <w:kern w:val="2"/>
                <w:sz w:val="28"/>
                <w:szCs w:val="24"/>
                <w:lang w:val="en-US" w:eastAsia="zh-CN" w:bidi="ar-SA"/>
              </w:rPr>
              <w:t>的，</w:t>
            </w:r>
            <w:r>
              <w:rPr>
                <w:rFonts w:hint="default" w:cs="Times New Roman"/>
                <w:b w:val="0"/>
                <w:bCs/>
                <w:color w:val="000000"/>
                <w:kern w:val="2"/>
                <w:sz w:val="28"/>
                <w:szCs w:val="24"/>
                <w:lang w:eastAsia="zh-CN" w:bidi="ar-SA"/>
              </w:rPr>
              <w:t>得</w:t>
            </w:r>
            <w:r>
              <w:rPr>
                <w:rFonts w:hint="eastAsia" w:ascii="Calibri" w:hAnsi="Calibri" w:eastAsia="宋体" w:cs="Times New Roman"/>
                <w:b w:val="0"/>
                <w:bCs/>
                <w:color w:val="000000"/>
                <w:kern w:val="2"/>
                <w:sz w:val="28"/>
                <w:szCs w:val="24"/>
                <w:lang w:val="en-US" w:eastAsia="zh-CN" w:bidi="ar-SA"/>
              </w:rPr>
              <w:t>0分</w:t>
            </w:r>
            <w:r>
              <w:rPr>
                <w:rFonts w:hint="default" w:cs="Times New Roman"/>
                <w:b w:val="0"/>
                <w:bCs/>
                <w:color w:val="000000"/>
                <w:kern w:val="2"/>
                <w:sz w:val="28"/>
                <w:szCs w:val="24"/>
                <w:lang w:eastAsia="zh-CN" w:bidi="ar-SA"/>
              </w:rPr>
              <w:t>。</w:t>
            </w:r>
          </w:p>
        </w:tc>
        <w:tc>
          <w:tcPr>
            <w:tcW w:w="835" w:type="dxa"/>
            <w:vAlign w:val="center"/>
          </w:tcPr>
          <w:p>
            <w:pPr>
              <w:snapToGrid w:val="0"/>
              <w:rPr>
                <w:rFonts w:hint="eastAsia" w:ascii="Calibri" w:hAnsi="Calibri" w:eastAsia="宋体" w:cs="Times New Roman"/>
                <w:bCs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color w:val="000000"/>
                <w:sz w:val="28"/>
                <w:szCs w:val="24"/>
                <w:lang w:val="en-US" w:eastAsia="zh-CN"/>
              </w:rPr>
              <w:t>10分</w:t>
            </w:r>
          </w:p>
        </w:tc>
      </w:tr>
    </w:tbl>
    <w:p>
      <w:pPr>
        <w:widowControl/>
        <w:snapToGrid w:val="0"/>
        <w:jc w:val="center"/>
        <w:rPr>
          <w:rFonts w:hint="eastAsia"/>
          <w:color w:val="000000"/>
          <w:kern w:val="0"/>
          <w:sz w:val="28"/>
          <w:szCs w:val="28"/>
          <w:lang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3"/>
        <w:rPr>
          <w:rFonts w:hint="default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jc w:val="center"/>
      <w:rPr>
        <w:rFonts w:ascii="宋体" w:hAnsi="宋体" w:eastAsia="宋体" w:cs="宋体"/>
      </w:rPr>
    </w:pPr>
    <w:r>
      <w:rPr>
        <w:rFonts w:hint="eastAsia" w:ascii="宋体" w:hAnsi="宋体" w:eastAsia="宋体" w:cs="宋体"/>
        <w:sz w:val="28"/>
        <w:szCs w:val="28"/>
      </w:rPr>
      <w:t xml:space="preserve">—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PAGE   \* MERGEFORMAT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hint="eastAsia" w:ascii="宋体" w:hAnsi="宋体" w:eastAsia="宋体" w:cs="宋体"/>
        <w:sz w:val="28"/>
        <w:szCs w:val="28"/>
        <w:lang w:val="zh-CN"/>
      </w:rPr>
      <w:t>1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</w:rPr>
      <w:t xml:space="preserve"> 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176604"/>
    <w:multiLevelType w:val="singleLevel"/>
    <w:tmpl w:val="1D17660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M4MjYwOGMxNDBkZmZiMjY4OWQ4ZWE5MDIyOTI5ODUifQ=="/>
  </w:docVars>
  <w:rsids>
    <w:rsidRoot w:val="00000000"/>
    <w:rsid w:val="0C130102"/>
    <w:rsid w:val="0DDD5ADE"/>
    <w:rsid w:val="16AF07A6"/>
    <w:rsid w:val="16D43DC5"/>
    <w:rsid w:val="1EF26ABF"/>
    <w:rsid w:val="22973864"/>
    <w:rsid w:val="2316746F"/>
    <w:rsid w:val="298A504E"/>
    <w:rsid w:val="29AD6201"/>
    <w:rsid w:val="2A554419"/>
    <w:rsid w:val="32FA307C"/>
    <w:rsid w:val="3A641BC7"/>
    <w:rsid w:val="3A7E48A3"/>
    <w:rsid w:val="3EAB0813"/>
    <w:rsid w:val="3FEF1DF4"/>
    <w:rsid w:val="48757D4A"/>
    <w:rsid w:val="585C0292"/>
    <w:rsid w:val="65F09D54"/>
    <w:rsid w:val="660773BC"/>
    <w:rsid w:val="6B491134"/>
    <w:rsid w:val="6BBEF0AD"/>
    <w:rsid w:val="77F5B892"/>
    <w:rsid w:val="7C5BEAB4"/>
    <w:rsid w:val="7D447903"/>
    <w:rsid w:val="7E7D3AF8"/>
    <w:rsid w:val="7F1DF1D9"/>
    <w:rsid w:val="7FB7472F"/>
    <w:rsid w:val="7FF64F28"/>
    <w:rsid w:val="A8326073"/>
    <w:rsid w:val="B23F81E6"/>
    <w:rsid w:val="BEFE31A5"/>
    <w:rsid w:val="CFDFE27A"/>
    <w:rsid w:val="DAE779B9"/>
    <w:rsid w:val="DEFBDE27"/>
    <w:rsid w:val="DF3DEB6B"/>
    <w:rsid w:val="E3DF14D2"/>
    <w:rsid w:val="E77F0A58"/>
    <w:rsid w:val="EAFF6344"/>
    <w:rsid w:val="EFC7CAAA"/>
    <w:rsid w:val="F7F7E449"/>
    <w:rsid w:val="F8FF53B9"/>
    <w:rsid w:val="FE4A619F"/>
    <w:rsid w:val="FF77DD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jc w:val="center"/>
    </w:pPr>
    <w:rPr>
      <w:rFonts w:ascii="仿宋_GB2312" w:hAnsi="宋体" w:eastAsia="仿宋_GB2312"/>
      <w:b/>
      <w:sz w:val="32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公文-正文"/>
    <w:basedOn w:val="1"/>
    <w:qFormat/>
    <w:uiPriority w:val="0"/>
    <w:pPr>
      <w:spacing w:line="579" w:lineRule="exact"/>
      <w:ind w:firstLine="1120" w:firstLineChars="200"/>
    </w:pPr>
    <w:rPr>
      <w:rFonts w:ascii="仿宋_GB2312" w:hAnsi="仿宋_GB2312" w:eastAsia="仿宋_GB2312" w:cs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63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2014-11-06T20:08:00Z</dcterms:created>
  <dc:creator>Administrator</dc:creator>
  <cp:lastModifiedBy>田茂金</cp:lastModifiedBy>
  <cp:lastPrinted>2023-05-19T18:44:00Z</cp:lastPrinted>
  <dcterms:modified xsi:type="dcterms:W3CDTF">2023-08-29T03:38:29Z</dcterms:modified>
  <dc:title>天津市人民政府政务服务办公室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50C1C66599374A43940DDDB1C8E73FEE_12</vt:lpwstr>
  </property>
</Properties>
</file>