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A96F52">
      <w:pPr>
        <w:pStyle w:val="2"/>
        <w:jc w:val="both"/>
        <w:rPr>
          <w:rFonts w:hint="eastAsia" w:ascii="Times New Roman" w:hAnsi="Times New Roman" w:cs="Times New Roman"/>
          <w:sz w:val="32"/>
          <w:szCs w:val="32"/>
          <w:lang w:eastAsia="zh-CN"/>
        </w:rPr>
      </w:pPr>
      <w:r>
        <w:rPr>
          <w:rFonts w:hint="eastAsia" w:ascii="Times New Roman" w:hAnsi="Times New Roman" w:cs="Times New Roman"/>
          <w:sz w:val="32"/>
          <w:szCs w:val="32"/>
          <w:lang w:eastAsia="zh-CN"/>
        </w:rPr>
        <w:t>附件</w:t>
      </w:r>
      <w:bookmarkStart w:id="0" w:name="_GoBack"/>
      <w:bookmarkEnd w:id="0"/>
    </w:p>
    <w:p w14:paraId="15F4CCED">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市政务服务办202</w:t>
      </w:r>
      <w:r>
        <w:rPr>
          <w:rFonts w:hint="eastAsia" w:ascii="方正小标宋_GBK" w:hAnsi="方正小标宋_GBK" w:eastAsia="方正小标宋_GBK" w:cs="方正小标宋_GBK"/>
          <w:sz w:val="44"/>
          <w:szCs w:val="44"/>
          <w:lang w:val="en-US" w:eastAsia="zh-CN"/>
        </w:rPr>
        <w:t>4</w:t>
      </w:r>
      <w:r>
        <w:rPr>
          <w:rFonts w:hint="eastAsia" w:ascii="方正小标宋_GBK" w:hAnsi="方正小标宋_GBK" w:eastAsia="方正小标宋_GBK" w:cs="方正小标宋_GBK"/>
          <w:sz w:val="44"/>
          <w:szCs w:val="44"/>
        </w:rPr>
        <w:t>年度消防维保服务</w:t>
      </w:r>
    </w:p>
    <w:p w14:paraId="5A5639C2">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项目需求书</w:t>
      </w:r>
    </w:p>
    <w:p w14:paraId="7CDA54C9">
      <w:pPr>
        <w:pStyle w:val="3"/>
        <w:spacing w:line="400" w:lineRule="exact"/>
        <w:jc w:val="center"/>
        <w:rPr>
          <w:rFonts w:ascii="方正小标宋简体" w:hAnsi="方正小标宋简体" w:eastAsia="方正小标宋简体" w:cs="方正小标宋简体"/>
          <w:color w:val="000000"/>
          <w:kern w:val="0"/>
          <w:sz w:val="44"/>
          <w:szCs w:val="44"/>
          <w:lang w:bidi="ar"/>
        </w:rPr>
      </w:pPr>
    </w:p>
    <w:p w14:paraId="3AC76C2A">
      <w:pPr>
        <w:spacing w:line="550" w:lineRule="exact"/>
        <w:ind w:firstLine="640" w:firstLineChars="200"/>
        <w:rPr>
          <w:rFonts w:ascii="黑体" w:hAnsi="黑体" w:eastAsia="黑体" w:cs="Times New Roman"/>
          <w:sz w:val="32"/>
          <w:szCs w:val="32"/>
        </w:rPr>
      </w:pPr>
      <w:r>
        <w:rPr>
          <w:rFonts w:ascii="黑体" w:hAnsi="黑体" w:eastAsia="黑体" w:cs="Times New Roman"/>
          <w:sz w:val="32"/>
          <w:szCs w:val="32"/>
        </w:rPr>
        <w:t>一、项目背景</w:t>
      </w:r>
    </w:p>
    <w:p w14:paraId="2458CC59">
      <w:p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天津市政务服务中心位于天津市河东区红星路79号，建筑面积约为</w:t>
      </w:r>
      <w:r>
        <w:rPr>
          <w:rFonts w:ascii="Times New Roman" w:hAnsi="Times New Roman" w:eastAsia="仿宋_GB2312" w:cs="Times New Roman"/>
          <w:color w:val="auto"/>
          <w:sz w:val="32"/>
          <w:szCs w:val="32"/>
        </w:rPr>
        <w:t>27400</w:t>
      </w:r>
      <w:r>
        <w:rPr>
          <w:rFonts w:hint="eastAsia" w:ascii="Times New Roman" w:hAnsi="Times New Roman" w:eastAsia="仿宋_GB2312" w:cs="Times New Roman"/>
          <w:sz w:val="32"/>
          <w:szCs w:val="32"/>
        </w:rPr>
        <w:t>平方米</w:t>
      </w:r>
      <w:r>
        <w:rPr>
          <w:rFonts w:ascii="Times New Roman" w:hAnsi="Times New Roman" w:eastAsia="仿宋_GB2312" w:cs="Times New Roman"/>
          <w:sz w:val="32"/>
          <w:szCs w:val="32"/>
        </w:rPr>
        <w:t>，建筑高度约为23.9米，地上三层，地下一层。针对202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度</w:t>
      </w:r>
      <w:r>
        <w:rPr>
          <w:rFonts w:ascii="Times New Roman" w:hAnsi="Times New Roman" w:eastAsia="仿宋_GB2312" w:cs="Times New Roman"/>
          <w:sz w:val="32"/>
          <w:szCs w:val="32"/>
        </w:rPr>
        <w:t>消防设施维护保养及年度检测项目进行采购。</w:t>
      </w:r>
    </w:p>
    <w:p w14:paraId="336BE24E">
      <w:pPr>
        <w:numPr>
          <w:ilvl w:val="0"/>
          <w:numId w:val="1"/>
        </w:numPr>
        <w:spacing w:line="550" w:lineRule="exact"/>
        <w:ind w:firstLine="640" w:firstLineChars="200"/>
        <w:rPr>
          <w:rFonts w:ascii="黑体" w:hAnsi="黑体" w:eastAsia="黑体" w:cs="Times New Roman"/>
          <w:sz w:val="32"/>
          <w:szCs w:val="32"/>
        </w:rPr>
      </w:pPr>
      <w:r>
        <w:rPr>
          <w:rFonts w:ascii="黑体" w:hAnsi="黑体" w:eastAsia="黑体" w:cs="Times New Roman"/>
          <w:sz w:val="32"/>
          <w:szCs w:val="32"/>
        </w:rPr>
        <w:t>项目预算</w:t>
      </w:r>
    </w:p>
    <w:p w14:paraId="2D9E32DA">
      <w:p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项目预算</w:t>
      </w:r>
      <w:r>
        <w:rPr>
          <w:rFonts w:hint="eastAsia" w:ascii="Times New Roman" w:hAnsi="Times New Roman" w:eastAsia="仿宋_GB2312" w:cs="Times New Roman"/>
          <w:sz w:val="32"/>
          <w:szCs w:val="32"/>
          <w:lang w:val="en-US" w:eastAsia="zh-CN"/>
        </w:rPr>
        <w:t>9.8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p>
    <w:p w14:paraId="0AD7BE17">
      <w:pPr>
        <w:numPr>
          <w:ilvl w:val="0"/>
          <w:numId w:val="1"/>
        </w:numPr>
        <w:spacing w:line="550" w:lineRule="exact"/>
        <w:ind w:firstLine="640" w:firstLineChars="200"/>
        <w:rPr>
          <w:rFonts w:ascii="黑体" w:hAnsi="黑体" w:eastAsia="黑体" w:cs="Times New Roman"/>
          <w:sz w:val="32"/>
          <w:szCs w:val="32"/>
        </w:rPr>
      </w:pPr>
      <w:r>
        <w:rPr>
          <w:rFonts w:ascii="黑体" w:hAnsi="黑体" w:eastAsia="黑体" w:cs="Times New Roman"/>
          <w:sz w:val="32"/>
          <w:szCs w:val="32"/>
        </w:rPr>
        <w:t>资格要求</w:t>
      </w:r>
    </w:p>
    <w:p w14:paraId="035E6609">
      <w:p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（1）投标人是依照中华人民共和国有关法律设立，并在中华人民共和国正式注册，具有独立法人地位的企事业单位或其他组织，具有合格有效的营业执照，须提供有效期内的营业执照副本复印件，并加盖公章。</w:t>
      </w:r>
    </w:p>
    <w:p w14:paraId="3F188CB6">
      <w:p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（2）投标人应具备消防维保技术能力并提供《社会消防技术服务信息系统平合》录入信息截屏和一级维保资质扫描件以及《天津市消防技术服务管理系统》审核通过的具备消防维保资质信息截屏。</w:t>
      </w:r>
    </w:p>
    <w:p w14:paraId="707E5880">
      <w:p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（3）投标人具有消防设施工程专业承包二级及以上资质。提供资质证书复印件，并加盖公章。</w:t>
      </w:r>
    </w:p>
    <w:p w14:paraId="755A9D02">
      <w:p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（4）投标人具有建筑智能化工程专业承包二级及以上资质。提供资质证书复印件，并加盖公章。</w:t>
      </w:r>
    </w:p>
    <w:p w14:paraId="6DAF8A6B">
      <w:p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（5）投标人应具有有效期内的安全生产许可证。提供证书复印件，并加盖公章。</w:t>
      </w:r>
    </w:p>
    <w:p w14:paraId="112B564D">
      <w:p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（6）投标人需提供自</w:t>
      </w: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年1月1日至本项目公告发布之日同类型项目经验2个及以上。须提供业绩列表、合同、发票复印件，如合同金额与发票金额不符，需提供相关证明文件，否则业绩不予认可，并准备原件备查。</w:t>
      </w:r>
    </w:p>
    <w:p w14:paraId="7559A1F7">
      <w:p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（7）投标人应配备专属服务团队，配置人员要求如下：</w:t>
      </w:r>
    </w:p>
    <w:p w14:paraId="4A997278">
      <w:p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项目经理1名，提供一级注册消防工程师复印件和一级注册建造师复印件；</w:t>
      </w:r>
    </w:p>
    <w:p w14:paraId="2391D4FB">
      <w:p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技术负责人1名，提供一级注册消防工程师复印件；</w:t>
      </w:r>
    </w:p>
    <w:p w14:paraId="2DF878AD">
      <w:p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项目组成员：中级消防员不少于2名，初级消防员不少于3名，提供相应证书复印件；</w:t>
      </w:r>
    </w:p>
    <w:p w14:paraId="18205FCA">
      <w:p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以上人员须为应答人合同制员工，提供不少于6个月社保缴纳证明复印件并加盖单位公章、身份证正反面复印件。</w:t>
      </w:r>
    </w:p>
    <w:p w14:paraId="34E0FC8D">
      <w:p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（8）投标人自202</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年至今没有处于被责令停业，投标资格被取消，财产被接管、冻结，破产状态，应答人应提供承诺书，并加盖公章。</w:t>
      </w:r>
    </w:p>
    <w:p w14:paraId="664BA838">
      <w:p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（9）投标人自202</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年至今在经营活动中没有发生骗取中标、违约及工程质量、重大安全生产责任事故问题，应答人应提供承诺书，并加盖公章。</w:t>
      </w:r>
    </w:p>
    <w:p w14:paraId="19E55D6A">
      <w:p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（10）投标人自202</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年至今未发生由于违反采购人相关规定取消履约资格及由于自身原因单方面终止履行合同的行为，应答人应提供承诺书，并加盖公章。</w:t>
      </w:r>
    </w:p>
    <w:p w14:paraId="04777479">
      <w:p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（11）投标人遵守中华人民共和国现行法律、法规和采购人有关招标的规定，应答人应提供承诺书，并加盖公章。</w:t>
      </w:r>
    </w:p>
    <w:p w14:paraId="39444B3F">
      <w:p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（12）本项目不接受联合体投标。</w:t>
      </w:r>
    </w:p>
    <w:p w14:paraId="0A1EEFE0">
      <w:p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（13）投标单位负责人为同一人或者存在控股、管理关系的不同单位，不得参加同一采购包应答或者未划分采购包的同一项目应答。</w:t>
      </w:r>
    </w:p>
    <w:p w14:paraId="5B8A9BD5">
      <w:pPr>
        <w:spacing w:line="550" w:lineRule="exact"/>
        <w:ind w:firstLine="640" w:firstLineChars="200"/>
        <w:rPr>
          <w:rFonts w:ascii="黑体" w:hAnsi="黑体" w:eastAsia="黑体" w:cs="Times New Roman"/>
          <w:sz w:val="32"/>
          <w:szCs w:val="32"/>
        </w:rPr>
      </w:pPr>
      <w:r>
        <w:rPr>
          <w:rFonts w:ascii="黑体" w:hAnsi="黑体" w:eastAsia="黑体" w:cs="Times New Roman"/>
          <w:sz w:val="32"/>
          <w:szCs w:val="32"/>
        </w:rPr>
        <w:t>四、服务期</w:t>
      </w:r>
    </w:p>
    <w:p w14:paraId="2AD12043">
      <w:p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10</w:t>
      </w:r>
      <w:r>
        <w:rPr>
          <w:rFonts w:ascii="Times New Roman" w:hAnsi="Times New Roman" w:eastAsia="仿宋_GB2312" w:cs="Times New Roman"/>
          <w:sz w:val="32"/>
          <w:szCs w:val="32"/>
        </w:rPr>
        <w:t>月1日至202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月3</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日（特殊情况以合同为准）</w:t>
      </w:r>
      <w:r>
        <w:rPr>
          <w:rFonts w:hint="eastAsia" w:ascii="Times New Roman" w:hAnsi="Times New Roman" w:eastAsia="仿宋_GB2312" w:cs="Times New Roman"/>
          <w:sz w:val="32"/>
          <w:szCs w:val="32"/>
        </w:rPr>
        <w:t>。</w:t>
      </w:r>
    </w:p>
    <w:p w14:paraId="3C3C0A6D">
      <w:pPr>
        <w:spacing w:line="550" w:lineRule="exact"/>
        <w:rPr>
          <w:rFonts w:ascii="黑体" w:hAnsi="黑体" w:eastAsia="黑体" w:cs="Times New Roman"/>
          <w:sz w:val="32"/>
          <w:szCs w:val="32"/>
        </w:rPr>
      </w:pPr>
      <w:r>
        <w:rPr>
          <w:rFonts w:ascii="黑体" w:hAnsi="黑体" w:eastAsia="黑体" w:cs="Times New Roman"/>
          <w:sz w:val="32"/>
          <w:szCs w:val="32"/>
        </w:rPr>
        <w:t xml:space="preserve">    五、服务地点</w:t>
      </w:r>
    </w:p>
    <w:p w14:paraId="43D1F161">
      <w:p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天津市政务服务中心（天津市河东区红星路79号）</w:t>
      </w:r>
    </w:p>
    <w:p w14:paraId="7F06E199">
      <w:pPr>
        <w:spacing w:line="550" w:lineRule="exact"/>
        <w:ind w:firstLine="642"/>
        <w:rPr>
          <w:rFonts w:ascii="黑体" w:hAnsi="黑体" w:eastAsia="黑体" w:cs="Times New Roman"/>
          <w:sz w:val="32"/>
          <w:szCs w:val="32"/>
        </w:rPr>
      </w:pPr>
      <w:r>
        <w:rPr>
          <w:rFonts w:ascii="黑体" w:hAnsi="黑体" w:eastAsia="黑体" w:cs="Times New Roman"/>
          <w:sz w:val="32"/>
          <w:szCs w:val="32"/>
        </w:rPr>
        <w:t>六、付款方式</w:t>
      </w:r>
    </w:p>
    <w:p w14:paraId="4DE572B6">
      <w:p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（1）结算方式：合同签订之日起每六个月支付一次合同金额的50%，以中标供应商出具的《建筑消防设施月检查记录表》6份和《建筑消防设施检测报告》1份、发票作为结算依据。</w:t>
      </w:r>
    </w:p>
    <w:p w14:paraId="7F3A4611">
      <w:pPr>
        <w:spacing w:line="550" w:lineRule="exact"/>
        <w:ind w:firstLine="640" w:firstLineChars="200"/>
        <w:rPr>
          <w:rFonts w:ascii="Times New Roman" w:hAnsi="Times New Roman" w:eastAsia="仿宋_GB2312" w:cs="Times New Roman"/>
          <w:sz w:val="32"/>
          <w:szCs w:val="32"/>
          <w:lang w:val="en"/>
        </w:rPr>
      </w:pPr>
      <w:r>
        <w:rPr>
          <w:rFonts w:ascii="Times New Roman" w:hAnsi="Times New Roman" w:eastAsia="仿宋_GB2312" w:cs="Times New Roman"/>
          <w:sz w:val="32"/>
          <w:szCs w:val="32"/>
        </w:rPr>
        <w:t>（2）服务过程中使用的维修工具、常用备品备件由中标供应商提供</w:t>
      </w:r>
      <w:r>
        <w:rPr>
          <w:rFonts w:hint="eastAsia" w:ascii="Times New Roman" w:hAnsi="Times New Roman" w:eastAsia="仿宋_GB2312" w:cs="Times New Roman"/>
          <w:sz w:val="32"/>
          <w:szCs w:val="32"/>
        </w:rPr>
        <w:t>。</w:t>
      </w:r>
    </w:p>
    <w:p w14:paraId="0F250690">
      <w:p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（3）消防检测报告费用由中标供应商支付</w:t>
      </w:r>
      <w:r>
        <w:rPr>
          <w:rFonts w:hint="eastAsia" w:ascii="Times New Roman" w:hAnsi="Times New Roman" w:eastAsia="仿宋_GB2312" w:cs="Times New Roman"/>
          <w:sz w:val="32"/>
          <w:szCs w:val="32"/>
        </w:rPr>
        <w:t>。</w:t>
      </w:r>
    </w:p>
    <w:p w14:paraId="06FD8C50">
      <w:p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（4）服务过程中须更换的设施、设备及备件等购置费用由采购人支付。</w:t>
      </w:r>
    </w:p>
    <w:p w14:paraId="68D718C9">
      <w:pPr>
        <w:spacing w:line="550" w:lineRule="exact"/>
        <w:ind w:firstLine="640" w:firstLineChars="200"/>
        <w:rPr>
          <w:rFonts w:ascii="黑体" w:hAnsi="黑体" w:eastAsia="黑体" w:cs="Times New Roman"/>
          <w:sz w:val="32"/>
          <w:szCs w:val="32"/>
        </w:rPr>
      </w:pPr>
      <w:r>
        <w:rPr>
          <w:rFonts w:ascii="黑体" w:hAnsi="黑体" w:eastAsia="黑体" w:cs="Times New Roman"/>
          <w:sz w:val="32"/>
          <w:szCs w:val="32"/>
        </w:rPr>
        <w:t>七、技术要求</w:t>
      </w:r>
    </w:p>
    <w:p w14:paraId="0A62AB71">
      <w:pPr>
        <w:spacing w:line="55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项目服务期自合同签订之日起1年，依据现行相关规范对建筑消防设施每月进行一次巡检，并填写《建筑消防设施月检查记录表》；</w:t>
      </w:r>
      <w:r>
        <w:rPr>
          <w:rFonts w:hint="default" w:ascii="Times New Roman" w:hAnsi="Times New Roman" w:eastAsia="仿宋_GB2312" w:cs="Times New Roman"/>
          <w:color w:val="000000"/>
          <w:sz w:val="32"/>
          <w:szCs w:val="32"/>
        </w:rPr>
        <w:t>每半年进行一次建筑消防设施全面检测，并填写《建筑消防设施检测报告》。每年对消防设施进行一次全面检测，</w:t>
      </w:r>
      <w:r>
        <w:rPr>
          <w:rFonts w:ascii="Times New Roman" w:hAnsi="Times New Roman" w:eastAsia="仿宋_GB2312" w:cs="Times New Roman"/>
          <w:color w:val="000000"/>
          <w:sz w:val="32"/>
          <w:szCs w:val="32"/>
        </w:rPr>
        <w:t>并出具年度检测合格报告，并将检测结果报相关消防机构备案。</w:t>
      </w:r>
    </w:p>
    <w:p w14:paraId="4EA309D7">
      <w:pPr>
        <w:spacing w:line="550" w:lineRule="exact"/>
        <w:ind w:firstLine="640" w:firstLineChars="200"/>
        <w:rPr>
          <w:rFonts w:ascii="仿宋_GB2312" w:hAnsi="仿宋_GB2312" w:eastAsia="仿宋_GB2312" w:cs="仿宋_GB2312"/>
          <w:sz w:val="32"/>
          <w:szCs w:val="32"/>
        </w:rPr>
      </w:pPr>
      <w:r>
        <w:rPr>
          <w:rFonts w:ascii="Times New Roman" w:hAnsi="Times New Roman" w:eastAsia="仿宋_GB2312" w:cs="Times New Roman"/>
          <w:sz w:val="32"/>
          <w:szCs w:val="32"/>
        </w:rPr>
        <w:t>（1）承包范围明细</w:t>
      </w:r>
      <w:r>
        <w:rPr>
          <w:rFonts w:hint="eastAsia" w:ascii="仿宋_GB2312" w:hAnsi="仿宋_GB2312" w:eastAsia="仿宋_GB2312" w:cs="仿宋_GB2312"/>
          <w:sz w:val="32"/>
          <w:szCs w:val="32"/>
        </w:rPr>
        <w:t>：</w:t>
      </w:r>
    </w:p>
    <w:p w14:paraId="035E755E">
      <w:pPr>
        <w:spacing w:line="55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市政务服务中心消防设施明细</w:t>
      </w:r>
    </w:p>
    <w:tbl>
      <w:tblPr>
        <w:tblStyle w:val="6"/>
        <w:tblW w:w="8407" w:type="dxa"/>
        <w:jc w:val="center"/>
        <w:tblLayout w:type="autofit"/>
        <w:tblCellMar>
          <w:top w:w="0" w:type="dxa"/>
          <w:left w:w="108" w:type="dxa"/>
          <w:bottom w:w="0" w:type="dxa"/>
          <w:right w:w="108" w:type="dxa"/>
        </w:tblCellMar>
      </w:tblPr>
      <w:tblGrid>
        <w:gridCol w:w="930"/>
        <w:gridCol w:w="4926"/>
        <w:gridCol w:w="2551"/>
      </w:tblGrid>
      <w:tr w14:paraId="11835146">
        <w:tblPrEx>
          <w:tblCellMar>
            <w:top w:w="0" w:type="dxa"/>
            <w:left w:w="108" w:type="dxa"/>
            <w:bottom w:w="0" w:type="dxa"/>
            <w:right w:w="108" w:type="dxa"/>
          </w:tblCellMar>
        </w:tblPrEx>
        <w:trPr>
          <w:trHeight w:val="675" w:hRule="atLeast"/>
          <w:jc w:val="center"/>
        </w:trPr>
        <w:tc>
          <w:tcPr>
            <w:tcW w:w="930" w:type="dxa"/>
            <w:tcBorders>
              <w:top w:val="single" w:color="000000" w:sz="4" w:space="0"/>
              <w:left w:val="single" w:color="000000" w:sz="4" w:space="0"/>
              <w:bottom w:val="single" w:color="000000" w:sz="4" w:space="0"/>
              <w:right w:val="single" w:color="000000" w:sz="4" w:space="0"/>
            </w:tcBorders>
            <w:noWrap/>
            <w:vAlign w:val="center"/>
          </w:tcPr>
          <w:p w14:paraId="57E6D99C">
            <w:pPr>
              <w:widowControl/>
              <w:jc w:val="center"/>
              <w:textAlignment w:val="center"/>
              <w:rPr>
                <w:rFonts w:ascii="仿宋_GB2312" w:hAnsi="宋体" w:eastAsia="仿宋_GB2312" w:cs="仿宋_GB2312"/>
                <w:b/>
                <w:bCs/>
                <w:color w:val="000000"/>
                <w:sz w:val="32"/>
                <w:szCs w:val="32"/>
              </w:rPr>
            </w:pPr>
            <w:r>
              <w:rPr>
                <w:rFonts w:hint="eastAsia" w:ascii="仿宋_GB2312" w:hAnsi="宋体" w:eastAsia="仿宋_GB2312" w:cs="仿宋_GB2312"/>
                <w:b/>
                <w:bCs/>
                <w:color w:val="000000"/>
                <w:kern w:val="0"/>
                <w:sz w:val="32"/>
                <w:szCs w:val="32"/>
                <w:lang w:bidi="ar"/>
              </w:rPr>
              <w:t>序号</w:t>
            </w:r>
          </w:p>
        </w:tc>
        <w:tc>
          <w:tcPr>
            <w:tcW w:w="4926" w:type="dxa"/>
            <w:tcBorders>
              <w:top w:val="single" w:color="000000" w:sz="4" w:space="0"/>
              <w:left w:val="single" w:color="000000" w:sz="4" w:space="0"/>
              <w:bottom w:val="single" w:color="000000" w:sz="4" w:space="0"/>
              <w:right w:val="single" w:color="000000" w:sz="4" w:space="0"/>
            </w:tcBorders>
            <w:noWrap/>
            <w:vAlign w:val="center"/>
          </w:tcPr>
          <w:p w14:paraId="380F9A40">
            <w:pPr>
              <w:widowControl/>
              <w:jc w:val="center"/>
              <w:textAlignment w:val="center"/>
              <w:rPr>
                <w:rFonts w:ascii="仿宋_GB2312" w:hAnsi="宋体" w:eastAsia="仿宋_GB2312" w:cs="仿宋_GB2312"/>
                <w:b/>
                <w:bCs/>
                <w:color w:val="000000"/>
                <w:sz w:val="32"/>
                <w:szCs w:val="32"/>
              </w:rPr>
            </w:pPr>
            <w:r>
              <w:rPr>
                <w:rFonts w:hint="eastAsia" w:ascii="仿宋_GB2312" w:hAnsi="宋体" w:eastAsia="仿宋_GB2312" w:cs="仿宋_GB2312"/>
                <w:b/>
                <w:bCs/>
                <w:color w:val="000000"/>
                <w:kern w:val="0"/>
                <w:sz w:val="32"/>
                <w:szCs w:val="32"/>
                <w:lang w:bidi="ar"/>
              </w:rPr>
              <w:t>设备名称</w:t>
            </w: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37A6BECD">
            <w:pPr>
              <w:widowControl/>
              <w:jc w:val="center"/>
              <w:textAlignment w:val="center"/>
              <w:rPr>
                <w:rFonts w:ascii="仿宋_GB2312" w:hAnsi="宋体" w:eastAsia="仿宋_GB2312" w:cs="仿宋_GB2312"/>
                <w:b/>
                <w:bCs/>
                <w:color w:val="000000"/>
                <w:sz w:val="32"/>
                <w:szCs w:val="32"/>
              </w:rPr>
            </w:pPr>
            <w:r>
              <w:rPr>
                <w:rFonts w:hint="eastAsia" w:ascii="仿宋_GB2312" w:hAnsi="宋体" w:eastAsia="仿宋_GB2312" w:cs="仿宋_GB2312"/>
                <w:b/>
                <w:bCs/>
                <w:color w:val="000000"/>
                <w:kern w:val="0"/>
                <w:sz w:val="32"/>
                <w:szCs w:val="32"/>
                <w:lang w:bidi="ar"/>
              </w:rPr>
              <w:t>数量</w:t>
            </w:r>
          </w:p>
        </w:tc>
      </w:tr>
      <w:tr w14:paraId="30079EAB">
        <w:tblPrEx>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9ECF9FE">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w:t>
            </w:r>
          </w:p>
        </w:tc>
        <w:tc>
          <w:tcPr>
            <w:tcW w:w="4926" w:type="dxa"/>
            <w:tcBorders>
              <w:top w:val="single" w:color="000000" w:sz="4" w:space="0"/>
              <w:left w:val="single" w:color="000000" w:sz="4" w:space="0"/>
              <w:bottom w:val="single" w:color="000000" w:sz="4" w:space="0"/>
              <w:right w:val="single" w:color="000000" w:sz="4" w:space="0"/>
            </w:tcBorders>
            <w:noWrap/>
            <w:vAlign w:val="center"/>
          </w:tcPr>
          <w:p w14:paraId="7D93B4BC">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火灾报警控制器（联动型）主机</w:t>
            </w: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5FBE8291">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1台</w:t>
            </w:r>
          </w:p>
        </w:tc>
      </w:tr>
      <w:tr w14:paraId="708CA5CA">
        <w:tblPrEx>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15EDB8B">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2</w:t>
            </w:r>
          </w:p>
        </w:tc>
        <w:tc>
          <w:tcPr>
            <w:tcW w:w="4926" w:type="dxa"/>
            <w:tcBorders>
              <w:top w:val="single" w:color="000000" w:sz="4" w:space="0"/>
              <w:left w:val="single" w:color="000000" w:sz="4" w:space="0"/>
              <w:bottom w:val="single" w:color="000000" w:sz="4" w:space="0"/>
              <w:right w:val="single" w:color="000000" w:sz="4" w:space="0"/>
            </w:tcBorders>
            <w:noWrap/>
            <w:vAlign w:val="center"/>
          </w:tcPr>
          <w:p w14:paraId="300CCF0E">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消防联动控制系统</w:t>
            </w: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496333C5">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1套</w:t>
            </w:r>
          </w:p>
        </w:tc>
      </w:tr>
      <w:tr w14:paraId="43285C2E">
        <w:tblPrEx>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920EA4C">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3</w:t>
            </w:r>
          </w:p>
        </w:tc>
        <w:tc>
          <w:tcPr>
            <w:tcW w:w="4926" w:type="dxa"/>
            <w:tcBorders>
              <w:top w:val="single" w:color="000000" w:sz="4" w:space="0"/>
              <w:left w:val="single" w:color="000000" w:sz="4" w:space="0"/>
              <w:bottom w:val="single" w:color="000000" w:sz="4" w:space="0"/>
              <w:right w:val="single" w:color="000000" w:sz="4" w:space="0"/>
            </w:tcBorders>
            <w:noWrap/>
            <w:vAlign w:val="center"/>
          </w:tcPr>
          <w:p w14:paraId="2CF29E5A">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气体灭火集中型控制器主机（无管网）</w:t>
            </w: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673DD878">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1台</w:t>
            </w:r>
          </w:p>
        </w:tc>
      </w:tr>
      <w:tr w14:paraId="06FA1E5E">
        <w:tblPrEx>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D5E9EBA">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4</w:t>
            </w:r>
          </w:p>
        </w:tc>
        <w:tc>
          <w:tcPr>
            <w:tcW w:w="4926" w:type="dxa"/>
            <w:tcBorders>
              <w:top w:val="single" w:color="000000" w:sz="4" w:space="0"/>
              <w:left w:val="single" w:color="000000" w:sz="4" w:space="0"/>
              <w:bottom w:val="single" w:color="000000" w:sz="4" w:space="0"/>
              <w:right w:val="single" w:color="000000" w:sz="4" w:space="0"/>
            </w:tcBorders>
            <w:noWrap/>
            <w:vAlign w:val="center"/>
          </w:tcPr>
          <w:p w14:paraId="628C5123">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火灾探测器（感烟）</w:t>
            </w: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2330BF60">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731个</w:t>
            </w:r>
          </w:p>
        </w:tc>
      </w:tr>
      <w:tr w14:paraId="0471CC30">
        <w:tblPrEx>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9B517EB">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5</w:t>
            </w:r>
          </w:p>
        </w:tc>
        <w:tc>
          <w:tcPr>
            <w:tcW w:w="4926" w:type="dxa"/>
            <w:tcBorders>
              <w:top w:val="single" w:color="000000" w:sz="4" w:space="0"/>
              <w:left w:val="single" w:color="000000" w:sz="4" w:space="0"/>
              <w:bottom w:val="single" w:color="000000" w:sz="4" w:space="0"/>
              <w:right w:val="single" w:color="000000" w:sz="4" w:space="0"/>
            </w:tcBorders>
            <w:noWrap/>
            <w:vAlign w:val="center"/>
          </w:tcPr>
          <w:p w14:paraId="79485E3F">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火灾探测器（感温）</w:t>
            </w: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2DAD6E30">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340个</w:t>
            </w:r>
          </w:p>
        </w:tc>
      </w:tr>
      <w:tr w14:paraId="50801667">
        <w:tblPrEx>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82D0FA2">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6</w:t>
            </w:r>
          </w:p>
        </w:tc>
        <w:tc>
          <w:tcPr>
            <w:tcW w:w="4926" w:type="dxa"/>
            <w:tcBorders>
              <w:top w:val="single" w:color="000000" w:sz="4" w:space="0"/>
              <w:left w:val="single" w:color="000000" w:sz="4" w:space="0"/>
              <w:bottom w:val="single" w:color="000000" w:sz="4" w:space="0"/>
              <w:right w:val="single" w:color="000000" w:sz="4" w:space="0"/>
            </w:tcBorders>
            <w:noWrap/>
            <w:vAlign w:val="center"/>
          </w:tcPr>
          <w:p w14:paraId="61D1D9B5">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消防手动报警按钮</w:t>
            </w: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316FF9B0">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102个</w:t>
            </w:r>
          </w:p>
        </w:tc>
      </w:tr>
      <w:tr w14:paraId="6F224A03">
        <w:tblPrEx>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A344D08">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7</w:t>
            </w:r>
          </w:p>
        </w:tc>
        <w:tc>
          <w:tcPr>
            <w:tcW w:w="4926" w:type="dxa"/>
            <w:tcBorders>
              <w:top w:val="single" w:color="000000" w:sz="4" w:space="0"/>
              <w:left w:val="single" w:color="000000" w:sz="4" w:space="0"/>
              <w:bottom w:val="single" w:color="000000" w:sz="4" w:space="0"/>
              <w:right w:val="single" w:color="000000" w:sz="4" w:space="0"/>
            </w:tcBorders>
            <w:noWrap/>
            <w:vAlign w:val="center"/>
          </w:tcPr>
          <w:p w14:paraId="7115751E">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声光警报器</w:t>
            </w: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1F9469E4">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13个</w:t>
            </w:r>
          </w:p>
        </w:tc>
      </w:tr>
      <w:tr w14:paraId="2E03CCF8">
        <w:tblPrEx>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D8F86F7">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8</w:t>
            </w:r>
          </w:p>
        </w:tc>
        <w:tc>
          <w:tcPr>
            <w:tcW w:w="4926" w:type="dxa"/>
            <w:tcBorders>
              <w:top w:val="single" w:color="000000" w:sz="4" w:space="0"/>
              <w:left w:val="single" w:color="000000" w:sz="4" w:space="0"/>
              <w:bottom w:val="single" w:color="000000" w:sz="4" w:space="0"/>
              <w:right w:val="single" w:color="000000" w:sz="4" w:space="0"/>
            </w:tcBorders>
            <w:noWrap/>
            <w:vAlign w:val="center"/>
          </w:tcPr>
          <w:p w14:paraId="4041195D">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消防广播系统</w:t>
            </w: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0F373064">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1套</w:t>
            </w:r>
          </w:p>
        </w:tc>
      </w:tr>
      <w:tr w14:paraId="3DBA93D9">
        <w:tblPrEx>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C825A7B">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9</w:t>
            </w:r>
          </w:p>
        </w:tc>
        <w:tc>
          <w:tcPr>
            <w:tcW w:w="4926" w:type="dxa"/>
            <w:tcBorders>
              <w:top w:val="single" w:color="000000" w:sz="4" w:space="0"/>
              <w:left w:val="single" w:color="000000" w:sz="4" w:space="0"/>
              <w:bottom w:val="single" w:color="000000" w:sz="4" w:space="0"/>
              <w:right w:val="single" w:color="000000" w:sz="4" w:space="0"/>
            </w:tcBorders>
            <w:noWrap/>
            <w:vAlign w:val="center"/>
          </w:tcPr>
          <w:p w14:paraId="77A07663">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消防电话主机</w:t>
            </w: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65ECE1C3">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1部</w:t>
            </w:r>
          </w:p>
        </w:tc>
      </w:tr>
      <w:tr w14:paraId="7C9B25B2">
        <w:tblPrEx>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30BDEA1">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10</w:t>
            </w:r>
          </w:p>
        </w:tc>
        <w:tc>
          <w:tcPr>
            <w:tcW w:w="4926" w:type="dxa"/>
            <w:tcBorders>
              <w:top w:val="single" w:color="000000" w:sz="4" w:space="0"/>
              <w:left w:val="single" w:color="000000" w:sz="4" w:space="0"/>
              <w:bottom w:val="single" w:color="000000" w:sz="4" w:space="0"/>
              <w:right w:val="single" w:color="000000" w:sz="4" w:space="0"/>
            </w:tcBorders>
            <w:noWrap/>
            <w:vAlign w:val="center"/>
          </w:tcPr>
          <w:p w14:paraId="389EBB02">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消防电话分机</w:t>
            </w: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4C4A45BE">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9部</w:t>
            </w:r>
          </w:p>
        </w:tc>
      </w:tr>
      <w:tr w14:paraId="6B7CFFFF">
        <w:tblPrEx>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A261827">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11</w:t>
            </w:r>
          </w:p>
        </w:tc>
        <w:tc>
          <w:tcPr>
            <w:tcW w:w="4926" w:type="dxa"/>
            <w:tcBorders>
              <w:top w:val="single" w:color="000000" w:sz="4" w:space="0"/>
              <w:left w:val="single" w:color="000000" w:sz="4" w:space="0"/>
              <w:bottom w:val="single" w:color="000000" w:sz="4" w:space="0"/>
              <w:right w:val="single" w:color="000000" w:sz="4" w:space="0"/>
            </w:tcBorders>
            <w:noWrap/>
            <w:vAlign w:val="center"/>
          </w:tcPr>
          <w:p w14:paraId="2CCCCF8E">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双电源互投柜</w:t>
            </w: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2BF601C1">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11个</w:t>
            </w:r>
          </w:p>
        </w:tc>
      </w:tr>
      <w:tr w14:paraId="4B55BE88">
        <w:tblPrEx>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2CD216A9">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12</w:t>
            </w:r>
          </w:p>
        </w:tc>
        <w:tc>
          <w:tcPr>
            <w:tcW w:w="4926" w:type="dxa"/>
            <w:tcBorders>
              <w:top w:val="single" w:color="000000" w:sz="4" w:space="0"/>
              <w:left w:val="single" w:color="000000" w:sz="4" w:space="0"/>
              <w:bottom w:val="single" w:color="000000" w:sz="4" w:space="0"/>
              <w:right w:val="single" w:color="000000" w:sz="4" w:space="0"/>
            </w:tcBorders>
            <w:noWrap/>
            <w:vAlign w:val="center"/>
          </w:tcPr>
          <w:p w14:paraId="6D2E0684">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消防排烟风机控制闸箱</w:t>
            </w: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17625CF8">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9个</w:t>
            </w:r>
          </w:p>
        </w:tc>
      </w:tr>
      <w:tr w14:paraId="05E4FDE6">
        <w:tblPrEx>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EECE092">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13</w:t>
            </w:r>
          </w:p>
        </w:tc>
        <w:tc>
          <w:tcPr>
            <w:tcW w:w="4926" w:type="dxa"/>
            <w:tcBorders>
              <w:top w:val="single" w:color="000000" w:sz="4" w:space="0"/>
              <w:left w:val="single" w:color="000000" w:sz="4" w:space="0"/>
              <w:bottom w:val="single" w:color="000000" w:sz="4" w:space="0"/>
              <w:right w:val="single" w:color="000000" w:sz="4" w:space="0"/>
            </w:tcBorders>
            <w:noWrap/>
            <w:vAlign w:val="center"/>
          </w:tcPr>
          <w:p w14:paraId="4353C028">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消防排烟风机</w:t>
            </w: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4BC33DD7">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9台</w:t>
            </w:r>
          </w:p>
        </w:tc>
      </w:tr>
      <w:tr w14:paraId="6B6934CF">
        <w:tblPrEx>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8FC78A7">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14</w:t>
            </w:r>
          </w:p>
        </w:tc>
        <w:tc>
          <w:tcPr>
            <w:tcW w:w="4926" w:type="dxa"/>
            <w:tcBorders>
              <w:top w:val="single" w:color="000000" w:sz="4" w:space="0"/>
              <w:left w:val="single" w:color="000000" w:sz="4" w:space="0"/>
              <w:bottom w:val="single" w:color="000000" w:sz="4" w:space="0"/>
              <w:right w:val="single" w:color="000000" w:sz="4" w:space="0"/>
            </w:tcBorders>
            <w:noWrap/>
            <w:vAlign w:val="center"/>
          </w:tcPr>
          <w:p w14:paraId="39E7786C">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防火卷帘门</w:t>
            </w: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418B999E">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34套</w:t>
            </w:r>
          </w:p>
        </w:tc>
      </w:tr>
      <w:tr w14:paraId="07DAC72A">
        <w:tblPrEx>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73923D6">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15</w:t>
            </w:r>
          </w:p>
        </w:tc>
        <w:tc>
          <w:tcPr>
            <w:tcW w:w="4926" w:type="dxa"/>
            <w:tcBorders>
              <w:top w:val="single" w:color="000000" w:sz="4" w:space="0"/>
              <w:left w:val="single" w:color="000000" w:sz="4" w:space="0"/>
              <w:bottom w:val="single" w:color="000000" w:sz="4" w:space="0"/>
              <w:right w:val="single" w:color="000000" w:sz="4" w:space="0"/>
            </w:tcBorders>
            <w:noWrap/>
            <w:vAlign w:val="center"/>
          </w:tcPr>
          <w:p w14:paraId="43385C3D">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防火门</w:t>
            </w: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3BC5F8C2">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43套</w:t>
            </w:r>
          </w:p>
        </w:tc>
      </w:tr>
      <w:tr w14:paraId="25A23A48">
        <w:tblPrEx>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133514B">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16</w:t>
            </w:r>
          </w:p>
        </w:tc>
        <w:tc>
          <w:tcPr>
            <w:tcW w:w="4926" w:type="dxa"/>
            <w:tcBorders>
              <w:top w:val="single" w:color="000000" w:sz="4" w:space="0"/>
              <w:left w:val="single" w:color="000000" w:sz="4" w:space="0"/>
              <w:bottom w:val="single" w:color="000000" w:sz="4" w:space="0"/>
              <w:right w:val="single" w:color="000000" w:sz="4" w:space="0"/>
            </w:tcBorders>
            <w:noWrap/>
            <w:vAlign w:val="center"/>
          </w:tcPr>
          <w:p w14:paraId="0B46C521">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消防喷淋泵</w:t>
            </w: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11BA145B">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2台</w:t>
            </w:r>
          </w:p>
        </w:tc>
      </w:tr>
      <w:tr w14:paraId="2851088C">
        <w:tblPrEx>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5F36B69">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17</w:t>
            </w:r>
          </w:p>
        </w:tc>
        <w:tc>
          <w:tcPr>
            <w:tcW w:w="4926" w:type="dxa"/>
            <w:tcBorders>
              <w:top w:val="single" w:color="000000" w:sz="4" w:space="0"/>
              <w:left w:val="single" w:color="000000" w:sz="4" w:space="0"/>
              <w:bottom w:val="single" w:color="000000" w:sz="4" w:space="0"/>
              <w:right w:val="single" w:color="000000" w:sz="4" w:space="0"/>
            </w:tcBorders>
            <w:noWrap/>
            <w:vAlign w:val="center"/>
          </w:tcPr>
          <w:p w14:paraId="15469909">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消防喷淋泵控制柜</w:t>
            </w: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7CB5D397">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1台</w:t>
            </w:r>
          </w:p>
        </w:tc>
      </w:tr>
      <w:tr w14:paraId="71B49862">
        <w:tblPrEx>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8ED0073">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18</w:t>
            </w:r>
          </w:p>
        </w:tc>
        <w:tc>
          <w:tcPr>
            <w:tcW w:w="4926" w:type="dxa"/>
            <w:tcBorders>
              <w:top w:val="single" w:color="000000" w:sz="4" w:space="0"/>
              <w:left w:val="single" w:color="000000" w:sz="4" w:space="0"/>
              <w:bottom w:val="single" w:color="000000" w:sz="4" w:space="0"/>
              <w:right w:val="single" w:color="000000" w:sz="4" w:space="0"/>
            </w:tcBorders>
            <w:noWrap/>
            <w:vAlign w:val="center"/>
          </w:tcPr>
          <w:p w14:paraId="700F9C11">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消火栓泵</w:t>
            </w: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685844A0">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2台</w:t>
            </w:r>
          </w:p>
        </w:tc>
      </w:tr>
      <w:tr w14:paraId="4FE8D539">
        <w:tblPrEx>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2BEFA73E">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19</w:t>
            </w:r>
          </w:p>
        </w:tc>
        <w:tc>
          <w:tcPr>
            <w:tcW w:w="4926" w:type="dxa"/>
            <w:tcBorders>
              <w:top w:val="single" w:color="000000" w:sz="4" w:space="0"/>
              <w:left w:val="single" w:color="000000" w:sz="4" w:space="0"/>
              <w:bottom w:val="single" w:color="000000" w:sz="4" w:space="0"/>
              <w:right w:val="single" w:color="000000" w:sz="4" w:space="0"/>
            </w:tcBorders>
            <w:noWrap/>
            <w:vAlign w:val="center"/>
          </w:tcPr>
          <w:p w14:paraId="4136BF47">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消火栓泵控制柜</w:t>
            </w: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2FADBDC3">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1台</w:t>
            </w:r>
          </w:p>
        </w:tc>
      </w:tr>
      <w:tr w14:paraId="1B69C230">
        <w:tblPrEx>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B3D4C1B">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20</w:t>
            </w:r>
          </w:p>
        </w:tc>
        <w:tc>
          <w:tcPr>
            <w:tcW w:w="4926" w:type="dxa"/>
            <w:tcBorders>
              <w:top w:val="single" w:color="000000" w:sz="4" w:space="0"/>
              <w:left w:val="single" w:color="000000" w:sz="4" w:space="0"/>
              <w:bottom w:val="single" w:color="000000" w:sz="4" w:space="0"/>
              <w:right w:val="single" w:color="000000" w:sz="4" w:space="0"/>
            </w:tcBorders>
            <w:noWrap/>
            <w:vAlign w:val="center"/>
          </w:tcPr>
          <w:p w14:paraId="34188515">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消防水泵接合器</w:t>
            </w: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6137C9D8">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2套</w:t>
            </w:r>
          </w:p>
        </w:tc>
      </w:tr>
      <w:tr w14:paraId="443873A3">
        <w:tblPrEx>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47CF053">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21</w:t>
            </w:r>
          </w:p>
        </w:tc>
        <w:tc>
          <w:tcPr>
            <w:tcW w:w="4926" w:type="dxa"/>
            <w:tcBorders>
              <w:top w:val="single" w:color="000000" w:sz="4" w:space="0"/>
              <w:left w:val="single" w:color="000000" w:sz="4" w:space="0"/>
              <w:bottom w:val="single" w:color="000000" w:sz="4" w:space="0"/>
              <w:right w:val="single" w:color="000000" w:sz="4" w:space="0"/>
            </w:tcBorders>
            <w:noWrap/>
            <w:vAlign w:val="center"/>
          </w:tcPr>
          <w:p w14:paraId="049609BD">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湿式自动喷水灭火系统</w:t>
            </w: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3849B4AF">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4套</w:t>
            </w:r>
          </w:p>
        </w:tc>
      </w:tr>
      <w:tr w14:paraId="24B0EC6F">
        <w:tblPrEx>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DF2F318">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22</w:t>
            </w:r>
          </w:p>
        </w:tc>
        <w:tc>
          <w:tcPr>
            <w:tcW w:w="4926" w:type="dxa"/>
            <w:tcBorders>
              <w:top w:val="single" w:color="000000" w:sz="4" w:space="0"/>
              <w:left w:val="single" w:color="000000" w:sz="4" w:space="0"/>
              <w:bottom w:val="single" w:color="000000" w:sz="4" w:space="0"/>
              <w:right w:val="single" w:color="000000" w:sz="4" w:space="0"/>
            </w:tcBorders>
            <w:noWrap/>
            <w:vAlign w:val="center"/>
          </w:tcPr>
          <w:p w14:paraId="263655AF">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预作用自动喷水灭火系统</w:t>
            </w: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6D75EE2F">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1套</w:t>
            </w:r>
          </w:p>
        </w:tc>
      </w:tr>
      <w:tr w14:paraId="48C9D9B7">
        <w:tblPrEx>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8A9DF00">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23</w:t>
            </w:r>
          </w:p>
        </w:tc>
        <w:tc>
          <w:tcPr>
            <w:tcW w:w="4926" w:type="dxa"/>
            <w:tcBorders>
              <w:top w:val="single" w:color="000000" w:sz="4" w:space="0"/>
              <w:left w:val="single" w:color="000000" w:sz="4" w:space="0"/>
              <w:bottom w:val="single" w:color="000000" w:sz="4" w:space="0"/>
              <w:right w:val="single" w:color="000000" w:sz="4" w:space="0"/>
            </w:tcBorders>
            <w:noWrap/>
            <w:vAlign w:val="center"/>
          </w:tcPr>
          <w:p w14:paraId="601E63F7">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稳压泵（预作用系统）</w:t>
            </w: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51B2CBFA">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2台</w:t>
            </w:r>
          </w:p>
        </w:tc>
      </w:tr>
      <w:tr w14:paraId="07B10CF4">
        <w:tblPrEx>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10EB638">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24</w:t>
            </w:r>
          </w:p>
        </w:tc>
        <w:tc>
          <w:tcPr>
            <w:tcW w:w="4926" w:type="dxa"/>
            <w:tcBorders>
              <w:top w:val="single" w:color="000000" w:sz="4" w:space="0"/>
              <w:left w:val="single" w:color="000000" w:sz="4" w:space="0"/>
              <w:bottom w:val="single" w:color="000000" w:sz="4" w:space="0"/>
              <w:right w:val="single" w:color="000000" w:sz="4" w:space="0"/>
            </w:tcBorders>
            <w:noWrap/>
            <w:vAlign w:val="center"/>
          </w:tcPr>
          <w:p w14:paraId="62C57258">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喷淋头</w:t>
            </w: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19337D76">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2995个</w:t>
            </w:r>
          </w:p>
        </w:tc>
      </w:tr>
      <w:tr w14:paraId="54E5CFFB">
        <w:tblPrEx>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A30C20A">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25</w:t>
            </w:r>
          </w:p>
        </w:tc>
        <w:tc>
          <w:tcPr>
            <w:tcW w:w="4926" w:type="dxa"/>
            <w:tcBorders>
              <w:top w:val="single" w:color="000000" w:sz="4" w:space="0"/>
              <w:left w:val="single" w:color="000000" w:sz="4" w:space="0"/>
              <w:bottom w:val="single" w:color="000000" w:sz="4" w:space="0"/>
              <w:right w:val="single" w:color="000000" w:sz="4" w:space="0"/>
            </w:tcBorders>
            <w:noWrap/>
            <w:vAlign w:val="center"/>
          </w:tcPr>
          <w:p w14:paraId="716333DC">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高位水箱（喷淋系统）</w:t>
            </w: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10983230">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1个</w:t>
            </w:r>
          </w:p>
        </w:tc>
      </w:tr>
      <w:tr w14:paraId="62026D90">
        <w:tblPrEx>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5197842">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26</w:t>
            </w:r>
          </w:p>
        </w:tc>
        <w:tc>
          <w:tcPr>
            <w:tcW w:w="4926" w:type="dxa"/>
            <w:tcBorders>
              <w:top w:val="single" w:color="000000" w:sz="4" w:space="0"/>
              <w:left w:val="single" w:color="000000" w:sz="4" w:space="0"/>
              <w:bottom w:val="single" w:color="000000" w:sz="4" w:space="0"/>
              <w:right w:val="single" w:color="000000" w:sz="4" w:space="0"/>
            </w:tcBorders>
            <w:noWrap/>
            <w:vAlign w:val="center"/>
          </w:tcPr>
          <w:p w14:paraId="581B4FCE">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稳压泵（喷淋灭火系统）</w:t>
            </w: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34D48ED7">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2台</w:t>
            </w:r>
          </w:p>
        </w:tc>
      </w:tr>
      <w:tr w14:paraId="19769179">
        <w:tblPrEx>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4B4EED6">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27</w:t>
            </w:r>
          </w:p>
        </w:tc>
        <w:tc>
          <w:tcPr>
            <w:tcW w:w="4926" w:type="dxa"/>
            <w:tcBorders>
              <w:top w:val="single" w:color="000000" w:sz="4" w:space="0"/>
              <w:left w:val="single" w:color="000000" w:sz="4" w:space="0"/>
              <w:bottom w:val="single" w:color="000000" w:sz="4" w:space="0"/>
              <w:right w:val="single" w:color="000000" w:sz="4" w:space="0"/>
            </w:tcBorders>
            <w:noWrap/>
            <w:vAlign w:val="center"/>
          </w:tcPr>
          <w:p w14:paraId="387982E3">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稳压泵控制闸箱（喷淋灭火系统）</w:t>
            </w: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72907A2D">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1台</w:t>
            </w:r>
          </w:p>
        </w:tc>
      </w:tr>
      <w:tr w14:paraId="3B866687">
        <w:tblPrEx>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1A574F2">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28</w:t>
            </w:r>
          </w:p>
        </w:tc>
        <w:tc>
          <w:tcPr>
            <w:tcW w:w="4926" w:type="dxa"/>
            <w:tcBorders>
              <w:top w:val="single" w:color="000000" w:sz="4" w:space="0"/>
              <w:left w:val="single" w:color="000000" w:sz="4" w:space="0"/>
              <w:bottom w:val="single" w:color="000000" w:sz="4" w:space="0"/>
              <w:right w:val="single" w:color="000000" w:sz="4" w:space="0"/>
            </w:tcBorders>
            <w:noWrap/>
            <w:vAlign w:val="center"/>
          </w:tcPr>
          <w:p w14:paraId="3F2B6E6E">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高位水箱（消火栓灭火系统）</w:t>
            </w: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327176B2">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1个</w:t>
            </w:r>
          </w:p>
        </w:tc>
      </w:tr>
      <w:tr w14:paraId="3F6F98DA">
        <w:tblPrEx>
          <w:tblCellMar>
            <w:top w:w="0" w:type="dxa"/>
            <w:left w:w="108" w:type="dxa"/>
            <w:bottom w:w="0" w:type="dxa"/>
            <w:right w:w="108"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9675D0C">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29</w:t>
            </w:r>
          </w:p>
        </w:tc>
        <w:tc>
          <w:tcPr>
            <w:tcW w:w="4926" w:type="dxa"/>
            <w:tcBorders>
              <w:top w:val="single" w:color="000000" w:sz="4" w:space="0"/>
              <w:left w:val="single" w:color="000000" w:sz="4" w:space="0"/>
              <w:bottom w:val="single" w:color="000000" w:sz="4" w:space="0"/>
              <w:right w:val="single" w:color="000000" w:sz="4" w:space="0"/>
            </w:tcBorders>
            <w:noWrap/>
            <w:vAlign w:val="center"/>
          </w:tcPr>
          <w:p w14:paraId="2C0FB3BF">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稳压泵（消火栓灭火系统）</w:t>
            </w: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2FE37099">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2台</w:t>
            </w:r>
          </w:p>
        </w:tc>
      </w:tr>
      <w:tr w14:paraId="6E9B7890">
        <w:tblPrEx>
          <w:tblCellMar>
            <w:top w:w="0" w:type="dxa"/>
            <w:left w:w="108" w:type="dxa"/>
            <w:bottom w:w="0" w:type="dxa"/>
            <w:right w:w="108"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F9202BA">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30</w:t>
            </w:r>
          </w:p>
        </w:tc>
        <w:tc>
          <w:tcPr>
            <w:tcW w:w="4926" w:type="dxa"/>
            <w:tcBorders>
              <w:top w:val="single" w:color="000000" w:sz="4" w:space="0"/>
              <w:left w:val="single" w:color="000000" w:sz="4" w:space="0"/>
              <w:bottom w:val="single" w:color="000000" w:sz="4" w:space="0"/>
              <w:right w:val="single" w:color="000000" w:sz="4" w:space="0"/>
            </w:tcBorders>
            <w:noWrap/>
            <w:vAlign w:val="center"/>
          </w:tcPr>
          <w:p w14:paraId="02A99CDA">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稳压泵控制闸箱（消火栓灭火系统）</w:t>
            </w: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2D681750">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1个</w:t>
            </w:r>
          </w:p>
        </w:tc>
      </w:tr>
      <w:tr w14:paraId="49CFA1B1">
        <w:tblPrEx>
          <w:tblCellMar>
            <w:top w:w="0" w:type="dxa"/>
            <w:left w:w="108" w:type="dxa"/>
            <w:bottom w:w="0" w:type="dxa"/>
            <w:right w:w="108" w:type="dxa"/>
          </w:tblCellMar>
        </w:tblPrEx>
        <w:trPr>
          <w:trHeight w:val="49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DA94864">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31</w:t>
            </w:r>
          </w:p>
        </w:tc>
        <w:tc>
          <w:tcPr>
            <w:tcW w:w="4926" w:type="dxa"/>
            <w:tcBorders>
              <w:top w:val="single" w:color="000000" w:sz="4" w:space="0"/>
              <w:left w:val="single" w:color="000000" w:sz="4" w:space="0"/>
              <w:bottom w:val="single" w:color="000000" w:sz="4" w:space="0"/>
              <w:right w:val="single" w:color="000000" w:sz="4" w:space="0"/>
            </w:tcBorders>
            <w:noWrap/>
            <w:vAlign w:val="center"/>
          </w:tcPr>
          <w:p w14:paraId="48555075">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喷淋末端泄水装置</w:t>
            </w: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0B5116DB">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16个</w:t>
            </w:r>
          </w:p>
        </w:tc>
      </w:tr>
      <w:tr w14:paraId="4D14402E">
        <w:tblPrEx>
          <w:tblCellMar>
            <w:top w:w="0" w:type="dxa"/>
            <w:left w:w="108" w:type="dxa"/>
            <w:bottom w:w="0" w:type="dxa"/>
            <w:right w:w="108"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B5BDCB3">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32</w:t>
            </w:r>
          </w:p>
        </w:tc>
        <w:tc>
          <w:tcPr>
            <w:tcW w:w="4926" w:type="dxa"/>
            <w:tcBorders>
              <w:top w:val="single" w:color="000000" w:sz="4" w:space="0"/>
              <w:left w:val="single" w:color="000000" w:sz="4" w:space="0"/>
              <w:bottom w:val="single" w:color="000000" w:sz="4" w:space="0"/>
              <w:right w:val="single" w:color="000000" w:sz="4" w:space="0"/>
            </w:tcBorders>
            <w:noWrap/>
            <w:vAlign w:val="center"/>
          </w:tcPr>
          <w:p w14:paraId="3B5D0BC3">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消防水池</w:t>
            </w: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3BEF2A6C">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1个</w:t>
            </w:r>
          </w:p>
        </w:tc>
      </w:tr>
      <w:tr w14:paraId="7BF3FBB7">
        <w:tblPrEx>
          <w:tblCellMar>
            <w:top w:w="0" w:type="dxa"/>
            <w:left w:w="108" w:type="dxa"/>
            <w:bottom w:w="0" w:type="dxa"/>
            <w:right w:w="108"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8D1FF34">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33</w:t>
            </w:r>
          </w:p>
        </w:tc>
        <w:tc>
          <w:tcPr>
            <w:tcW w:w="4926" w:type="dxa"/>
            <w:tcBorders>
              <w:top w:val="single" w:color="000000" w:sz="4" w:space="0"/>
              <w:left w:val="single" w:color="000000" w:sz="4" w:space="0"/>
              <w:bottom w:val="single" w:color="000000" w:sz="4" w:space="0"/>
              <w:right w:val="single" w:color="000000" w:sz="4" w:space="0"/>
            </w:tcBorders>
            <w:noWrap/>
            <w:vAlign w:val="center"/>
          </w:tcPr>
          <w:p w14:paraId="722C943B">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室内消火栓</w:t>
            </w: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65BA3B4B">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82个</w:t>
            </w:r>
          </w:p>
        </w:tc>
      </w:tr>
      <w:tr w14:paraId="06D33A5D">
        <w:tblPrEx>
          <w:tblCellMar>
            <w:top w:w="0" w:type="dxa"/>
            <w:left w:w="108" w:type="dxa"/>
            <w:bottom w:w="0" w:type="dxa"/>
            <w:right w:w="108"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31B3EB5">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34</w:t>
            </w:r>
          </w:p>
        </w:tc>
        <w:tc>
          <w:tcPr>
            <w:tcW w:w="4926" w:type="dxa"/>
            <w:tcBorders>
              <w:top w:val="single" w:color="000000" w:sz="4" w:space="0"/>
              <w:left w:val="single" w:color="000000" w:sz="4" w:space="0"/>
              <w:bottom w:val="single" w:color="000000" w:sz="4" w:space="0"/>
              <w:right w:val="single" w:color="000000" w:sz="4" w:space="0"/>
            </w:tcBorders>
            <w:noWrap/>
            <w:vAlign w:val="center"/>
          </w:tcPr>
          <w:p w14:paraId="61941073">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室外消火栓（地下式）</w:t>
            </w: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4135864C">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2个</w:t>
            </w:r>
          </w:p>
        </w:tc>
      </w:tr>
      <w:tr w14:paraId="061504C3">
        <w:tblPrEx>
          <w:tblCellMar>
            <w:top w:w="0" w:type="dxa"/>
            <w:left w:w="108" w:type="dxa"/>
            <w:bottom w:w="0" w:type="dxa"/>
            <w:right w:w="108"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EA68C17">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35</w:t>
            </w:r>
          </w:p>
        </w:tc>
        <w:tc>
          <w:tcPr>
            <w:tcW w:w="4926" w:type="dxa"/>
            <w:tcBorders>
              <w:top w:val="single" w:color="000000" w:sz="4" w:space="0"/>
              <w:left w:val="single" w:color="000000" w:sz="4" w:space="0"/>
              <w:bottom w:val="single" w:color="000000" w:sz="4" w:space="0"/>
              <w:right w:val="single" w:color="000000" w:sz="4" w:space="0"/>
            </w:tcBorders>
            <w:noWrap/>
            <w:vAlign w:val="center"/>
          </w:tcPr>
          <w:p w14:paraId="591351CE">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破拆箱</w:t>
            </w: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59C2598A">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7个</w:t>
            </w:r>
          </w:p>
        </w:tc>
      </w:tr>
      <w:tr w14:paraId="7519CC39">
        <w:tblPrEx>
          <w:tblCellMar>
            <w:top w:w="0" w:type="dxa"/>
            <w:left w:w="108" w:type="dxa"/>
            <w:bottom w:w="0" w:type="dxa"/>
            <w:right w:w="108"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2D23C4D">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36</w:t>
            </w:r>
          </w:p>
        </w:tc>
        <w:tc>
          <w:tcPr>
            <w:tcW w:w="4926" w:type="dxa"/>
            <w:tcBorders>
              <w:top w:val="single" w:color="000000" w:sz="4" w:space="0"/>
              <w:left w:val="single" w:color="000000" w:sz="4" w:space="0"/>
              <w:bottom w:val="single" w:color="000000" w:sz="4" w:space="0"/>
              <w:right w:val="single" w:color="000000" w:sz="4" w:space="0"/>
            </w:tcBorders>
            <w:noWrap/>
            <w:vAlign w:val="center"/>
          </w:tcPr>
          <w:p w14:paraId="6F6D4681">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疏散指示牌</w:t>
            </w: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0AA930A5">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146个</w:t>
            </w:r>
          </w:p>
        </w:tc>
      </w:tr>
      <w:tr w14:paraId="75E15FCD">
        <w:tblPrEx>
          <w:tblCellMar>
            <w:top w:w="0" w:type="dxa"/>
            <w:left w:w="108" w:type="dxa"/>
            <w:bottom w:w="0" w:type="dxa"/>
            <w:right w:w="108"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D8ED17B">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37</w:t>
            </w:r>
          </w:p>
        </w:tc>
        <w:tc>
          <w:tcPr>
            <w:tcW w:w="4926" w:type="dxa"/>
            <w:tcBorders>
              <w:top w:val="single" w:color="000000" w:sz="4" w:space="0"/>
              <w:left w:val="single" w:color="000000" w:sz="4" w:space="0"/>
              <w:bottom w:val="single" w:color="000000" w:sz="4" w:space="0"/>
              <w:right w:val="single" w:color="000000" w:sz="4" w:space="0"/>
            </w:tcBorders>
            <w:noWrap/>
            <w:vAlign w:val="center"/>
          </w:tcPr>
          <w:p w14:paraId="13850EFE">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应急照明</w:t>
            </w: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7CBDCD94">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131个</w:t>
            </w:r>
          </w:p>
        </w:tc>
      </w:tr>
      <w:tr w14:paraId="3DBD4140">
        <w:tblPrEx>
          <w:tblCellMar>
            <w:top w:w="0" w:type="dxa"/>
            <w:left w:w="108" w:type="dxa"/>
            <w:bottom w:w="0" w:type="dxa"/>
            <w:right w:w="108"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2D55B2B">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38</w:t>
            </w:r>
          </w:p>
        </w:tc>
        <w:tc>
          <w:tcPr>
            <w:tcW w:w="4926" w:type="dxa"/>
            <w:tcBorders>
              <w:top w:val="single" w:color="000000" w:sz="4" w:space="0"/>
              <w:left w:val="single" w:color="000000" w:sz="4" w:space="0"/>
              <w:bottom w:val="single" w:color="000000" w:sz="4" w:space="0"/>
              <w:right w:val="single" w:color="000000" w:sz="4" w:space="0"/>
            </w:tcBorders>
            <w:noWrap/>
            <w:vAlign w:val="center"/>
          </w:tcPr>
          <w:p w14:paraId="4B1D3458">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安全出口指示牌</w:t>
            </w: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3AAAA49C">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80个</w:t>
            </w:r>
          </w:p>
        </w:tc>
      </w:tr>
      <w:tr w14:paraId="3BFC532F">
        <w:tblPrEx>
          <w:tblCellMar>
            <w:top w:w="0" w:type="dxa"/>
            <w:left w:w="108" w:type="dxa"/>
            <w:bottom w:w="0" w:type="dxa"/>
            <w:right w:w="108"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97CDFAA">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39</w:t>
            </w:r>
          </w:p>
        </w:tc>
        <w:tc>
          <w:tcPr>
            <w:tcW w:w="4926" w:type="dxa"/>
            <w:tcBorders>
              <w:top w:val="single" w:color="000000" w:sz="4" w:space="0"/>
              <w:left w:val="single" w:color="000000" w:sz="4" w:space="0"/>
              <w:bottom w:val="single" w:color="000000" w:sz="4" w:space="0"/>
              <w:right w:val="single" w:color="000000" w:sz="4" w:space="0"/>
            </w:tcBorders>
            <w:noWrap/>
            <w:vAlign w:val="center"/>
          </w:tcPr>
          <w:p w14:paraId="5EB46424">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气体灭火系统（无管网）</w:t>
            </w: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6ADBAF9F">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8套</w:t>
            </w:r>
          </w:p>
        </w:tc>
      </w:tr>
      <w:tr w14:paraId="6C7EF502">
        <w:tblPrEx>
          <w:tblCellMar>
            <w:top w:w="0" w:type="dxa"/>
            <w:left w:w="108" w:type="dxa"/>
            <w:bottom w:w="0" w:type="dxa"/>
            <w:right w:w="108"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2435E065">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40</w:t>
            </w:r>
          </w:p>
        </w:tc>
        <w:tc>
          <w:tcPr>
            <w:tcW w:w="4926" w:type="dxa"/>
            <w:tcBorders>
              <w:top w:val="single" w:color="000000" w:sz="4" w:space="0"/>
              <w:left w:val="single" w:color="000000" w:sz="4" w:space="0"/>
              <w:bottom w:val="single" w:color="000000" w:sz="4" w:space="0"/>
              <w:right w:val="single" w:color="000000" w:sz="4" w:space="0"/>
            </w:tcBorders>
            <w:noWrap/>
            <w:vAlign w:val="center"/>
          </w:tcPr>
          <w:p w14:paraId="6D5BFE60">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可燃气体报警系统（直燃机房）</w:t>
            </w: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2394D44A">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1套</w:t>
            </w:r>
          </w:p>
        </w:tc>
      </w:tr>
      <w:tr w14:paraId="1F2A95EF">
        <w:tblPrEx>
          <w:tblCellMar>
            <w:top w:w="0" w:type="dxa"/>
            <w:left w:w="108" w:type="dxa"/>
            <w:bottom w:w="0" w:type="dxa"/>
            <w:right w:w="108"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0D48F0D">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41</w:t>
            </w:r>
          </w:p>
        </w:tc>
        <w:tc>
          <w:tcPr>
            <w:tcW w:w="4926" w:type="dxa"/>
            <w:tcBorders>
              <w:top w:val="single" w:color="000000" w:sz="4" w:space="0"/>
              <w:left w:val="single" w:color="000000" w:sz="4" w:space="0"/>
              <w:bottom w:val="single" w:color="000000" w:sz="4" w:space="0"/>
              <w:right w:val="single" w:color="000000" w:sz="4" w:space="0"/>
            </w:tcBorders>
            <w:noWrap/>
            <w:vAlign w:val="center"/>
          </w:tcPr>
          <w:p w14:paraId="794BA7B6">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可燃气体报警系统（食堂大灶间）</w:t>
            </w: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3058D36F">
            <w:pPr>
              <w:widowControl/>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1套</w:t>
            </w:r>
          </w:p>
        </w:tc>
      </w:tr>
      <w:tr w14:paraId="4BB60121">
        <w:tblPrEx>
          <w:tblCellMar>
            <w:top w:w="0" w:type="dxa"/>
            <w:left w:w="108" w:type="dxa"/>
            <w:bottom w:w="0" w:type="dxa"/>
            <w:right w:w="108" w:type="dxa"/>
          </w:tblCellMar>
        </w:tblPrEx>
        <w:trPr>
          <w:trHeight w:val="499"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6C54F3B">
            <w:pPr>
              <w:widowControl/>
              <w:jc w:val="center"/>
              <w:textAlignment w:val="center"/>
              <w:rPr>
                <w:rFonts w:ascii="Times New Roman" w:hAnsi="Times New Roman" w:eastAsia="宋体" w:cs="Times New Roman"/>
                <w:color w:val="000000"/>
                <w:kern w:val="0"/>
                <w:sz w:val="24"/>
                <w:lang w:bidi="ar"/>
              </w:rPr>
            </w:pPr>
            <w:r>
              <w:rPr>
                <w:rFonts w:ascii="Times New Roman" w:hAnsi="Times New Roman" w:eastAsia="宋体" w:cs="Times New Roman"/>
                <w:color w:val="000000"/>
                <w:kern w:val="0"/>
                <w:sz w:val="24"/>
                <w:lang w:bidi="ar"/>
              </w:rPr>
              <w:t>42</w:t>
            </w:r>
          </w:p>
        </w:tc>
        <w:tc>
          <w:tcPr>
            <w:tcW w:w="4926" w:type="dxa"/>
            <w:tcBorders>
              <w:top w:val="single" w:color="000000" w:sz="4" w:space="0"/>
              <w:left w:val="single" w:color="000000" w:sz="4" w:space="0"/>
              <w:bottom w:val="single" w:color="000000" w:sz="4" w:space="0"/>
              <w:right w:val="single" w:color="000000" w:sz="4" w:space="0"/>
            </w:tcBorders>
            <w:noWrap/>
            <w:vAlign w:val="center"/>
          </w:tcPr>
          <w:p w14:paraId="783C9B94">
            <w:pPr>
              <w:widowControl/>
              <w:jc w:val="left"/>
              <w:textAlignment w:val="center"/>
              <w:rPr>
                <w:rFonts w:ascii="Times New Roman" w:hAnsi="Times New Roman" w:eastAsia="宋体" w:cs="Times New Roman"/>
                <w:color w:val="000000"/>
                <w:kern w:val="0"/>
                <w:sz w:val="24"/>
                <w:lang w:bidi="ar"/>
              </w:rPr>
            </w:pPr>
            <w:r>
              <w:rPr>
                <w:rFonts w:ascii="Times New Roman" w:hAnsi="Times New Roman" w:eastAsia="宋体" w:cs="Times New Roman"/>
                <w:color w:val="000000"/>
                <w:kern w:val="0"/>
                <w:sz w:val="24"/>
                <w:lang w:bidi="ar"/>
              </w:rPr>
              <w:t>干粉灭火器（2公斤）                     192具</w:t>
            </w:r>
          </w:p>
          <w:p w14:paraId="7A74A97D">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干粉灭火器（3公斤）                                     8具</w:t>
            </w:r>
          </w:p>
          <w:p w14:paraId="496AE2FC">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干粉灭火器（4公斤）                                   377具</w:t>
            </w:r>
          </w:p>
          <w:p w14:paraId="165A3375">
            <w:pPr>
              <w:widowControl/>
              <w:jc w:val="left"/>
              <w:textAlignment w:val="center"/>
              <w:rPr>
                <w:rFonts w:ascii="Times New Roman" w:hAnsi="Times New Roman" w:eastAsia="宋体" w:cs="Times New Roman"/>
                <w:color w:val="000000"/>
                <w:kern w:val="0"/>
                <w:sz w:val="24"/>
                <w:lang w:bidi="ar"/>
              </w:rPr>
            </w:pPr>
            <w:r>
              <w:rPr>
                <w:rFonts w:ascii="Times New Roman" w:hAnsi="Times New Roman" w:eastAsia="宋体" w:cs="Times New Roman"/>
                <w:color w:val="000000"/>
                <w:kern w:val="0"/>
                <w:sz w:val="24"/>
                <w:lang w:bidi="ar"/>
              </w:rPr>
              <w:t>二氧化碳灭火器（3公斤）                                36具</w:t>
            </w:r>
          </w:p>
        </w:tc>
        <w:tc>
          <w:tcPr>
            <w:tcW w:w="2551" w:type="dxa"/>
            <w:tcBorders>
              <w:top w:val="single" w:color="000000" w:sz="4" w:space="0"/>
              <w:left w:val="single" w:color="000000" w:sz="4" w:space="0"/>
              <w:bottom w:val="single" w:color="000000" w:sz="4" w:space="0"/>
              <w:right w:val="single" w:color="000000" w:sz="4" w:space="0"/>
            </w:tcBorders>
            <w:noWrap/>
            <w:vAlign w:val="center"/>
          </w:tcPr>
          <w:p w14:paraId="3888EE45">
            <w:pPr>
              <w:widowControl/>
              <w:jc w:val="center"/>
              <w:textAlignment w:val="center"/>
              <w:rPr>
                <w:rFonts w:ascii="Times New Roman" w:hAnsi="Times New Roman" w:eastAsia="宋体" w:cs="Times New Roman"/>
                <w:color w:val="000000"/>
                <w:kern w:val="0"/>
                <w:sz w:val="24"/>
                <w:lang w:bidi="ar"/>
              </w:rPr>
            </w:pPr>
            <w:r>
              <w:rPr>
                <w:rFonts w:ascii="Times New Roman" w:hAnsi="Times New Roman" w:eastAsia="宋体" w:cs="Times New Roman"/>
                <w:kern w:val="0"/>
                <w:sz w:val="24"/>
                <w:lang w:bidi="ar"/>
              </w:rPr>
              <w:t>613具</w:t>
            </w:r>
          </w:p>
        </w:tc>
      </w:tr>
    </w:tbl>
    <w:p w14:paraId="3B1BB95A">
      <w:pPr>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（2）具体内容：</w:t>
      </w:r>
    </w:p>
    <w:p w14:paraId="62656D36">
      <w:pPr>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消防供配电</w:t>
      </w:r>
      <w:r>
        <w:rPr>
          <w:rFonts w:hint="eastAsia" w:ascii="Times New Roman" w:hAnsi="Times New Roman" w:eastAsia="仿宋_GB2312" w:cs="Times New Roman"/>
          <w:sz w:val="32"/>
          <w:szCs w:val="32"/>
        </w:rPr>
        <w:t>系统</w:t>
      </w:r>
    </w:p>
    <w:p w14:paraId="220AC6ED">
      <w:pPr>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1.1配电箱功能正常</w:t>
      </w:r>
      <w:r>
        <w:rPr>
          <w:rFonts w:hint="eastAsia" w:ascii="Times New Roman" w:hAnsi="Times New Roman" w:eastAsia="仿宋_GB2312" w:cs="Times New Roman"/>
          <w:sz w:val="32"/>
          <w:szCs w:val="32"/>
        </w:rPr>
        <w:t>；</w:t>
      </w:r>
    </w:p>
    <w:p w14:paraId="71A1FA0B">
      <w:pPr>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1.2消防控制室、消防泵房、消防电梯、消防排烟风机等设备房的最末一级供电箱自动切换功能正常。</w:t>
      </w:r>
    </w:p>
    <w:p w14:paraId="7429E929">
      <w:pPr>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火灾报警系统</w:t>
      </w:r>
    </w:p>
    <w:p w14:paraId="43847732">
      <w:pPr>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2.1每月定期对火灾报警设施报警功能按百分比测试，保证全部点位全年测试一遍，保证报警功能正常有效；</w:t>
      </w:r>
    </w:p>
    <w:p w14:paraId="0AF935E2">
      <w:pPr>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2.2每月对报警主机运行状态、报警功能、显示功能、按键功能进行全部测试，保证报警主机</w:t>
      </w:r>
      <w:r>
        <w:rPr>
          <w:rFonts w:hint="eastAsia" w:ascii="Times New Roman" w:hAnsi="Times New Roman" w:eastAsia="仿宋_GB2312" w:cs="Times New Roman"/>
          <w:sz w:val="32"/>
          <w:szCs w:val="32"/>
        </w:rPr>
        <w:t>运</w:t>
      </w:r>
      <w:r>
        <w:rPr>
          <w:rFonts w:ascii="Times New Roman" w:hAnsi="Times New Roman" w:eastAsia="仿宋_GB2312" w:cs="Times New Roman"/>
          <w:sz w:val="32"/>
          <w:szCs w:val="32"/>
        </w:rPr>
        <w:t>行正常有效；</w:t>
      </w:r>
    </w:p>
    <w:p w14:paraId="18B1E1CA">
      <w:pPr>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2.3定期对主机内部线路接线端子进行紧固、线路规整；</w:t>
      </w:r>
    </w:p>
    <w:p w14:paraId="05C61864">
      <w:pPr>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2.4定期对主机面板及内部清理灰尘；</w:t>
      </w:r>
    </w:p>
    <w:p w14:paraId="792C861C">
      <w:pPr>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2.5每季度对报警主机备用电池功能进行测试</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保证备用电池待机时间满足规范要求。</w:t>
      </w:r>
    </w:p>
    <w:p w14:paraId="3ECDD7F0">
      <w:pPr>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消防供水设施</w:t>
      </w:r>
    </w:p>
    <w:p w14:paraId="756A433E">
      <w:pPr>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3.1每月对消防水池水位、高位水箱、供水阀门、泄水阀门、浮球控制阀门进行检查测试，保证功能正常、保证水位正常。</w:t>
      </w:r>
    </w:p>
    <w:p w14:paraId="3B941D2A">
      <w:pPr>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消火栓</w:t>
      </w:r>
    </w:p>
    <w:p w14:paraId="10ED836C">
      <w:pPr>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4.1每月对消防水泵、控制柜进行检查，进行远程、就地启泵测试，保证功能完好有效；</w:t>
      </w:r>
    </w:p>
    <w:p w14:paraId="5CBFE2C8">
      <w:pPr>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4.2每月对室内消火栓管网静水压力进行测试，保持压力正常；</w:t>
      </w:r>
    </w:p>
    <w:p w14:paraId="651A3B15">
      <w:pPr>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4.3每月对消火栓箱体及内部设施设备进行检查，保证设施齐全、完好；</w:t>
      </w:r>
    </w:p>
    <w:p w14:paraId="35874F9C">
      <w:pPr>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4.4每半年对室内消火栓不利点进行动压测试；</w:t>
      </w:r>
    </w:p>
    <w:p w14:paraId="0DCACA69">
      <w:pPr>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4.5每季度对管道、阀门、栓口排查锈蚀情况，及时除锈、涂刷防锈漆、加注润滑油（备件损坏及时上报处理）；</w:t>
      </w:r>
    </w:p>
    <w:p w14:paraId="159D9A3E">
      <w:pPr>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4.6冬季来临前检查管网保温设施，修复破损保温棉，对保温薄弱区域提前告知相关部门注意防范，加强现场人员巡视。</w:t>
      </w:r>
    </w:p>
    <w:p w14:paraId="165E13AA">
      <w:pPr>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自动喷水灭火系统</w:t>
      </w:r>
    </w:p>
    <w:p w14:paraId="4C55C9BF">
      <w:pPr>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5.1每月对喷淋水泵、控制柜进行检查，进行远程、就地、压力开关启泵测试保证功能正常有效；</w:t>
      </w:r>
    </w:p>
    <w:p w14:paraId="3B239423">
      <w:pPr>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5.2每月对报警阀进行测试，保证功能有效；</w:t>
      </w:r>
    </w:p>
    <w:p w14:paraId="5CD67278">
      <w:pPr>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5.3每月对末端泄水装置进行检查测试，保证压力正常、通水排气；</w:t>
      </w:r>
    </w:p>
    <w:p w14:paraId="1221EBC5">
      <w:pPr>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5.4每月对管网压力及压力表进行检查，压力表</w:t>
      </w:r>
      <w:r>
        <w:rPr>
          <w:rFonts w:hint="eastAsia" w:ascii="Times New Roman" w:hAnsi="Times New Roman" w:eastAsia="仿宋_GB2312" w:cs="Times New Roman"/>
          <w:sz w:val="32"/>
          <w:szCs w:val="32"/>
        </w:rPr>
        <w:t>出现</w:t>
      </w:r>
      <w:r>
        <w:rPr>
          <w:rFonts w:ascii="Times New Roman" w:hAnsi="Times New Roman" w:eastAsia="仿宋_GB2312" w:cs="Times New Roman"/>
          <w:sz w:val="32"/>
          <w:szCs w:val="32"/>
        </w:rPr>
        <w:t>问题</w:t>
      </w:r>
      <w:r>
        <w:rPr>
          <w:rFonts w:hint="eastAsia" w:ascii="Times New Roman" w:hAnsi="Times New Roman" w:eastAsia="仿宋_GB2312" w:cs="Times New Roman"/>
          <w:sz w:val="32"/>
          <w:szCs w:val="32"/>
        </w:rPr>
        <w:t>后</w:t>
      </w:r>
      <w:r>
        <w:rPr>
          <w:rFonts w:ascii="Times New Roman" w:hAnsi="Times New Roman" w:eastAsia="仿宋_GB2312" w:cs="Times New Roman"/>
          <w:sz w:val="32"/>
          <w:szCs w:val="32"/>
        </w:rPr>
        <w:t>及时上报更换；</w:t>
      </w:r>
    </w:p>
    <w:p w14:paraId="70867B25">
      <w:pPr>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5.5每季度对管道、阀门等进行排查、除锈、刷漆、加注润滑油。</w:t>
      </w:r>
    </w:p>
    <w:p w14:paraId="5DD51FB9">
      <w:pPr>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气体灭火系统</w:t>
      </w:r>
    </w:p>
    <w:p w14:paraId="1D1EA2BE">
      <w:pPr>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6.1每月对气体灭火主机进行检查测试，保证功能正常；</w:t>
      </w:r>
    </w:p>
    <w:p w14:paraId="55BF0DC1">
      <w:pPr>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6.2每月对储瓶间内储气瓶、支吊架、集流管、选择阀、接线端子连接等进行外观检查；</w:t>
      </w:r>
    </w:p>
    <w:p w14:paraId="66B783AD">
      <w:pPr>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6.3每季度对储气瓶、启动瓶压力进行全部检查；</w:t>
      </w:r>
    </w:p>
    <w:p w14:paraId="70E3D222">
      <w:pPr>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6.4每季度对气体传输管道、喷头进行检查；</w:t>
      </w:r>
    </w:p>
    <w:p w14:paraId="4B18CECD">
      <w:pPr>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6.5每半年对气体灭火系统进行一次模拟启动测试。</w:t>
      </w:r>
    </w:p>
    <w:p w14:paraId="3F733C41">
      <w:pPr>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机械排烟系统</w:t>
      </w:r>
    </w:p>
    <w:p w14:paraId="258F571C">
      <w:pPr>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7.1每月对机械排烟风机、控制柜进行检查、进行远程、就地启动测试；</w:t>
      </w:r>
    </w:p>
    <w:p w14:paraId="0328F359">
      <w:pPr>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7.2每季度对排烟口、排烟阀进行检查测试；</w:t>
      </w:r>
    </w:p>
    <w:p w14:paraId="0C101025">
      <w:pPr>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7.3每半年对风口风速进行测试。</w:t>
      </w:r>
    </w:p>
    <w:p w14:paraId="72A32D99">
      <w:pPr>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防火分隔设施</w:t>
      </w:r>
    </w:p>
    <w:p w14:paraId="1D1513C8">
      <w:pPr>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8.1每月对防火卷帘外观、手控按钮进行检查；</w:t>
      </w:r>
    </w:p>
    <w:p w14:paraId="417B0E0F">
      <w:pPr>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8.2每季度对防火卷帘进行远程、就地升降测试。</w:t>
      </w:r>
    </w:p>
    <w:p w14:paraId="099F8D00">
      <w:pPr>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消防广播系统</w:t>
      </w:r>
    </w:p>
    <w:p w14:paraId="76F09675">
      <w:pPr>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9.1每月对广播主机、控制盘进行检查；</w:t>
      </w:r>
    </w:p>
    <w:p w14:paraId="47AD8938">
      <w:pPr>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9.2每季度进行消防广播测试。</w:t>
      </w:r>
    </w:p>
    <w:p w14:paraId="45D2FAFA">
      <w:pPr>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消防电话系统</w:t>
      </w:r>
    </w:p>
    <w:p w14:paraId="079EDEBB">
      <w:pPr>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10.1每月对设备间消防分机电话进行通话测试、线路检查；</w:t>
      </w:r>
    </w:p>
    <w:p w14:paraId="3616382D">
      <w:pPr>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10.2每月对消防电话主机功能、接线端子进行检查。</w:t>
      </w:r>
    </w:p>
    <w:p w14:paraId="30791CFE">
      <w:pPr>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应急照明</w:t>
      </w:r>
      <w:r>
        <w:rPr>
          <w:rFonts w:hint="eastAsia" w:ascii="Times New Roman" w:hAnsi="Times New Roman" w:eastAsia="仿宋_GB2312" w:cs="Times New Roman"/>
          <w:sz w:val="32"/>
          <w:szCs w:val="32"/>
        </w:rPr>
        <w:t>及</w:t>
      </w:r>
      <w:r>
        <w:rPr>
          <w:rFonts w:ascii="Times New Roman" w:hAnsi="Times New Roman" w:eastAsia="仿宋_GB2312" w:cs="Times New Roman"/>
          <w:sz w:val="32"/>
          <w:szCs w:val="32"/>
        </w:rPr>
        <w:t>疏散指示</w:t>
      </w:r>
    </w:p>
    <w:p w14:paraId="7E06CD4E">
      <w:pPr>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11.1每月对应急照明</w:t>
      </w:r>
      <w:r>
        <w:rPr>
          <w:rFonts w:hint="eastAsia" w:ascii="Times New Roman" w:hAnsi="Times New Roman" w:eastAsia="仿宋_GB2312" w:cs="Times New Roman"/>
          <w:sz w:val="32"/>
          <w:szCs w:val="32"/>
        </w:rPr>
        <w:t>及</w:t>
      </w:r>
      <w:r>
        <w:rPr>
          <w:rFonts w:ascii="Times New Roman" w:hAnsi="Times New Roman" w:eastAsia="仿宋_GB2312" w:cs="Times New Roman"/>
          <w:sz w:val="32"/>
          <w:szCs w:val="32"/>
        </w:rPr>
        <w:t>疏散指示灯具进行检查；及时对问题设备进行更换；涉及供电问题及时上报协助处理。</w:t>
      </w:r>
    </w:p>
    <w:p w14:paraId="4BF46598">
      <w:pPr>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12.灭火器</w:t>
      </w:r>
    </w:p>
    <w:p w14:paraId="260310EB">
      <w:pPr>
        <w:spacing w:line="55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12.1每月对灭火器外观、压力、附件进行检查；发现问题及时上报处理。</w:t>
      </w:r>
      <w:r>
        <w:rPr>
          <w:rFonts w:ascii="Times New Roman" w:hAnsi="Times New Roman" w:cs="Times New Roman"/>
        </w:rPr>
        <w:t xml:space="preserve"> </w:t>
      </w:r>
    </w:p>
    <w:p w14:paraId="073B6452">
      <w:pPr>
        <w:spacing w:line="550" w:lineRule="exact"/>
        <w:ind w:firstLine="640" w:firstLineChars="200"/>
        <w:jc w:val="left"/>
        <w:rPr>
          <w:rFonts w:ascii="黑体" w:hAnsi="黑体" w:eastAsia="黑体" w:cs="仿宋_GB2312"/>
          <w:sz w:val="32"/>
          <w:szCs w:val="32"/>
        </w:rPr>
      </w:pPr>
      <w:r>
        <w:rPr>
          <w:rFonts w:ascii="黑体" w:hAnsi="黑体" w:eastAsia="黑体" w:cs="仿宋_GB2312"/>
          <w:sz w:val="32"/>
          <w:szCs w:val="32"/>
        </w:rPr>
        <w:t>八</w:t>
      </w:r>
      <w:r>
        <w:rPr>
          <w:rFonts w:hint="eastAsia" w:ascii="黑体" w:hAnsi="黑体" w:eastAsia="黑体" w:cs="仿宋_GB2312"/>
          <w:sz w:val="32"/>
          <w:szCs w:val="32"/>
        </w:rPr>
        <w:t>、服务要求及验收标准</w:t>
      </w:r>
    </w:p>
    <w:p w14:paraId="377103AC">
      <w:pPr>
        <w:snapToGrid w:val="0"/>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中标供应商须在签订合同后5个工作日内派专业人员进场对采购人建筑消防设施进行熟悉了解，并根据采购人要求，对本项目中包含的所有建筑消防设施进行核对、检查，及时录入、补充、更新相关资料，并在15日内将采购人所有建筑消防设施（器材）分布图、消防给水管道及截门分布图等资料CAD电子版及纸质版资料和消防设施设备台账备案。备案后10个工作日内对所有建筑有问题的消防设施（不含灭火器）一次性维修到位。</w:t>
      </w:r>
    </w:p>
    <w:p w14:paraId="362E5AE2">
      <w:pPr>
        <w:snapToGrid w:val="0"/>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中标供应商需按照《建筑消防设施的维护管理》（GB25201-2010）完成维护保养工作，对消防设施进行检查、调试维修，使整个消防系统具备报警、联动、自动灭火等应有的消防功能运行状态正常。若因维保方失职、怠工等原因造成消防设施运行不正常，经采购人或公安消防机关检查发现存在严重问题，采购人有权终止与中标供应商合作关系，视作中标供应商违约，并追究中标供应商相关责任。维保期间未能保证消防设施完好有效而造成火灾扩大蔓延或人员伤亡的，由中标供应商承担全部法律责任及经济赔偿责任。</w:t>
      </w:r>
    </w:p>
    <w:p w14:paraId="53A3FD16">
      <w:pPr>
        <w:adjustRightInd w:val="0"/>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中标供应商须在合同期内，聘请第三方检测机构（具备消防检测资质的合法企业）对全部消防设施进行一次全面检测，并出具年度检测合格报告，并将检测结果报相关消防机构备案。因重大节日、消防活动安全需要时，应根据采购人和消防部门的要求进行检测（在投标文件中须提供承诺函）。</w:t>
      </w:r>
    </w:p>
    <w:p w14:paraId="1E7176C5">
      <w:p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（4）检测维修保养期内系统如出现故障，中标供应商技术人员接到采购人通知后应立即到现场查看，并及时消除故障，确保建筑消防设施正常运行。</w:t>
      </w:r>
    </w:p>
    <w:p w14:paraId="36F12863">
      <w:p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（5）中标供应商需积极配合参与采购人组织的消防演习，按照采购人的要求承担消防演习前准备工作、演习时技术保障工作及演习结束后系统恢复工作，积极配合消防安全的宣传工作。</w:t>
      </w:r>
    </w:p>
    <w:p w14:paraId="2A5FF63F">
      <w:p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（6）维保技术人员检测装备与工作要求：维保巡查人需要责任心强、业务过硬和无违法记录。上岗技术人员应当</w:t>
      </w:r>
      <w:r>
        <w:rPr>
          <w:rFonts w:hint="eastAsia" w:ascii="Times New Roman" w:hAnsi="Times New Roman" w:eastAsia="仿宋_GB2312" w:cs="Times New Roman"/>
          <w:sz w:val="32"/>
          <w:szCs w:val="32"/>
        </w:rPr>
        <w:t>具有</w:t>
      </w:r>
      <w:r>
        <w:rPr>
          <w:rFonts w:ascii="Times New Roman" w:hAnsi="Times New Roman" w:eastAsia="仿宋_GB2312" w:cs="Times New Roman"/>
          <w:sz w:val="32"/>
          <w:szCs w:val="32"/>
        </w:rPr>
        <w:t>《职业资格证书〔建（构）筑物消防员〕》，业务能力需要符合采购人考核要求，采购人将以实际操作等方式对维保技术人员进行考核，如不达标将提出书面要求更换，中标供应商如不调整维保技术人员，采购人有权终止合同。检测用工具、设备应满足GB25203-2010《消防监督技术装备配备》要求。驻场期间，维保技术</w:t>
      </w:r>
      <w:r>
        <w:rPr>
          <w:rFonts w:hint="eastAsia" w:ascii="Times New Roman" w:hAnsi="Times New Roman" w:eastAsia="仿宋_GB2312" w:cs="Times New Roman"/>
          <w:sz w:val="32"/>
          <w:szCs w:val="32"/>
        </w:rPr>
        <w:t>人员</w:t>
      </w:r>
      <w:r>
        <w:rPr>
          <w:rFonts w:ascii="Times New Roman" w:hAnsi="Times New Roman" w:eastAsia="仿宋_GB2312" w:cs="Times New Roman"/>
          <w:sz w:val="32"/>
          <w:szCs w:val="32"/>
        </w:rPr>
        <w:t>需要</w:t>
      </w:r>
      <w:r>
        <w:rPr>
          <w:rFonts w:hint="eastAsia" w:ascii="Times New Roman" w:hAnsi="Times New Roman" w:eastAsia="仿宋_GB2312" w:cs="Times New Roman"/>
          <w:sz w:val="32"/>
          <w:szCs w:val="32"/>
        </w:rPr>
        <w:t>服从</w:t>
      </w:r>
      <w:r>
        <w:rPr>
          <w:rFonts w:ascii="Times New Roman" w:hAnsi="Times New Roman" w:eastAsia="仿宋_GB2312" w:cs="Times New Roman"/>
          <w:sz w:val="32"/>
          <w:szCs w:val="32"/>
        </w:rPr>
        <w:t>采购人管理。</w:t>
      </w:r>
    </w:p>
    <w:p w14:paraId="135D3916">
      <w:p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（7）中标供应商为建筑配备维保工作手册，并经采购人批准后执行，内容主要包括</w:t>
      </w:r>
      <w:r>
        <w:rPr>
          <w:rFonts w:hint="eastAsia" w:ascii="宋体" w:hAnsi="宋体" w:eastAsia="宋体" w:cs="宋体"/>
          <w:sz w:val="32"/>
          <w:szCs w:val="32"/>
        </w:rPr>
        <w:t>①</w:t>
      </w:r>
      <w:r>
        <w:rPr>
          <w:rFonts w:ascii="Times New Roman" w:hAnsi="Times New Roman" w:eastAsia="仿宋_GB2312" w:cs="Times New Roman"/>
          <w:sz w:val="32"/>
          <w:szCs w:val="32"/>
        </w:rPr>
        <w:t>消防设施器材种类数量明细（含灭火器）；</w:t>
      </w:r>
      <w:r>
        <w:rPr>
          <w:rFonts w:hint="eastAsia" w:ascii="宋体" w:hAnsi="宋体" w:eastAsia="宋体" w:cs="宋体"/>
          <w:sz w:val="32"/>
          <w:szCs w:val="32"/>
        </w:rPr>
        <w:t>②</w:t>
      </w:r>
      <w:r>
        <w:rPr>
          <w:rFonts w:ascii="Times New Roman" w:hAnsi="Times New Roman" w:eastAsia="仿宋_GB2312" w:cs="Times New Roman"/>
          <w:sz w:val="32"/>
          <w:szCs w:val="32"/>
        </w:rPr>
        <w:t>维保服务流程和标准；</w:t>
      </w:r>
      <w:r>
        <w:rPr>
          <w:rFonts w:hint="eastAsia" w:ascii="宋体" w:hAnsi="宋体" w:eastAsia="宋体" w:cs="宋体"/>
          <w:sz w:val="32"/>
          <w:szCs w:val="32"/>
        </w:rPr>
        <w:t>③</w:t>
      </w:r>
      <w:r>
        <w:rPr>
          <w:rFonts w:ascii="Times New Roman" w:hAnsi="Times New Roman" w:eastAsia="仿宋_GB2312" w:cs="Times New Roman"/>
          <w:sz w:val="32"/>
          <w:szCs w:val="32"/>
        </w:rPr>
        <w:t>维保公司人员联系方式交付楼宇安全负责人以及物业人员；</w:t>
      </w:r>
      <w:r>
        <w:rPr>
          <w:rFonts w:hint="eastAsia" w:ascii="宋体" w:hAnsi="宋体" w:eastAsia="宋体" w:cs="宋体"/>
          <w:sz w:val="32"/>
          <w:szCs w:val="32"/>
        </w:rPr>
        <w:t>④</w:t>
      </w:r>
      <w:r>
        <w:rPr>
          <w:rFonts w:ascii="Times New Roman" w:hAnsi="Times New Roman" w:eastAsia="仿宋_GB2312" w:cs="Times New Roman"/>
          <w:sz w:val="32"/>
          <w:szCs w:val="32"/>
        </w:rPr>
        <w:t>常见故障的检查与排除方法；</w:t>
      </w:r>
      <w:r>
        <w:rPr>
          <w:rFonts w:hint="eastAsia" w:ascii="宋体" w:hAnsi="宋体" w:eastAsia="宋体" w:cs="宋体"/>
          <w:sz w:val="32"/>
          <w:szCs w:val="32"/>
        </w:rPr>
        <w:t>⑤</w:t>
      </w:r>
      <w:r>
        <w:rPr>
          <w:rFonts w:ascii="Times New Roman" w:hAnsi="Times New Roman" w:eastAsia="仿宋_GB2312" w:cs="Times New Roman"/>
          <w:sz w:val="32"/>
          <w:szCs w:val="32"/>
        </w:rPr>
        <w:t>维保人员巡查记录表、单项检查记录表、联动检查记录表；</w:t>
      </w:r>
      <w:r>
        <w:rPr>
          <w:rFonts w:hint="eastAsia" w:ascii="宋体" w:hAnsi="宋体" w:eastAsia="宋体" w:cs="宋体"/>
          <w:sz w:val="32"/>
          <w:szCs w:val="32"/>
        </w:rPr>
        <w:t>⑥</w:t>
      </w:r>
      <w:r>
        <w:rPr>
          <w:rFonts w:ascii="Times New Roman" w:hAnsi="Times New Roman" w:eastAsia="仿宋_GB2312" w:cs="Times New Roman"/>
          <w:sz w:val="32"/>
          <w:szCs w:val="32"/>
        </w:rPr>
        <w:t>维保服务汇总记录表；</w:t>
      </w:r>
      <w:r>
        <w:rPr>
          <w:rFonts w:hint="eastAsia" w:ascii="宋体" w:hAnsi="宋体" w:eastAsia="宋体" w:cs="宋体"/>
          <w:sz w:val="32"/>
          <w:szCs w:val="32"/>
        </w:rPr>
        <w:t>⑦</w:t>
      </w:r>
      <w:r>
        <w:rPr>
          <w:rFonts w:ascii="Times New Roman" w:hAnsi="Times New Roman" w:eastAsia="仿宋_GB2312" w:cs="Times New Roman"/>
          <w:sz w:val="32"/>
          <w:szCs w:val="32"/>
        </w:rPr>
        <w:t>故障维修记录表；</w:t>
      </w:r>
      <w:r>
        <w:rPr>
          <w:rFonts w:hint="eastAsia" w:ascii="宋体" w:hAnsi="宋体" w:eastAsia="宋体" w:cs="宋体"/>
          <w:sz w:val="32"/>
          <w:szCs w:val="32"/>
        </w:rPr>
        <w:t>⑧</w:t>
      </w:r>
      <w:r>
        <w:rPr>
          <w:rFonts w:ascii="Times New Roman" w:hAnsi="Times New Roman" w:eastAsia="仿宋_GB2312" w:cs="Times New Roman"/>
          <w:sz w:val="32"/>
          <w:szCs w:val="32"/>
        </w:rPr>
        <w:t>消防工作记录；</w:t>
      </w:r>
      <w:r>
        <w:rPr>
          <w:rFonts w:hint="eastAsia" w:ascii="宋体" w:hAnsi="宋体" w:eastAsia="宋体" w:cs="宋体"/>
          <w:sz w:val="32"/>
          <w:szCs w:val="32"/>
        </w:rPr>
        <w:t>⑨</w:t>
      </w:r>
      <w:r>
        <w:rPr>
          <w:rFonts w:ascii="Times New Roman" w:hAnsi="Times New Roman" w:eastAsia="仿宋_GB2312" w:cs="Times New Roman"/>
          <w:sz w:val="32"/>
          <w:szCs w:val="32"/>
        </w:rPr>
        <w:t>消防户籍化档案管理网络登记备案</w:t>
      </w:r>
      <w:r>
        <w:rPr>
          <w:rFonts w:hint="eastAsia" w:ascii="Times New Roman" w:hAnsi="Times New Roman" w:eastAsia="仿宋_GB2312" w:cs="Times New Roman"/>
          <w:sz w:val="32"/>
          <w:szCs w:val="32"/>
        </w:rPr>
        <w:t>表等</w:t>
      </w:r>
      <w:r>
        <w:rPr>
          <w:rFonts w:ascii="Times New Roman" w:hAnsi="Times New Roman" w:eastAsia="仿宋_GB2312" w:cs="Times New Roman"/>
          <w:sz w:val="32"/>
          <w:szCs w:val="32"/>
        </w:rPr>
        <w:t>。如有漏项造成影响最高扣除年度维保费的3%。</w:t>
      </w:r>
    </w:p>
    <w:p w14:paraId="6A0DE58F">
      <w:p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中标供应商须根据要求在维护过的消防设施设备上粘贴维护保养标签，记录维保时间和维保内容，形成年度报表附在设备设施上，如不达标最高扣除年度维保费的5%。每个月后的第一周的工作日五日内需要按照要求提交月检报告。月检报告必须有故障汇总和修复汇总的台账，未按时提交报告，最高扣除年度维保费的5%。《维护保养报告书》应当有维保人员、中标供应商项目经理和采购人消防安全管理人员签字，并加盖中标供应商印章。月度维护、检测记录报采购人备案。</w:t>
      </w:r>
    </w:p>
    <w:p w14:paraId="608DB570">
      <w:p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中标供应商不能够按照日常维保要求，不能够在规定的时间内进行维保，或建筑消防设施故障存在时间超过48小时，采购人将最高扣除全部维保费用10%，若发生2次维保不及时的，采购人有权单方面终止合同。因维护保养工作不到位、不及时检查检测维护造成设施设备非正常老化或损坏的，由中标供应商承担维修更换责任。</w:t>
      </w:r>
    </w:p>
    <w:p w14:paraId="077CC229">
      <w:p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消防设施损坏需要更换时，中标供应商须及时和采购人沟通确认，由采购人确定后及时维修；不能通过及时修复的必须在12小时内书面通知采购人，并在1个工作日内提出故障原因和书面维修建议。单件单价300元（含300元）以内的零配件更换，由中标供应商负责；单件单价300元（不含300元）以上的零配件更换，由采购人负责。</w:t>
      </w:r>
    </w:p>
    <w:p w14:paraId="78BD6E95">
      <w:p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11）当中标供应商接到故障抢修通知后，应在30分钟内派人到达现场对故障进行排除。一般故障应该立即排除，严重故障中标供应商应增加技术力量在24小时内修复，如遇24小时内不能修复要采取应急安全措施，同时报采购人备案。故障突击抢修时，若中标供应商不能够在规定的时间内进行抢修、不能及时采取临时措施，采购人将根据实际情况，每一次最高扣除全年维保费用的3%，累计3次抢修不及时的，采购人有权扣除其一个季度服务费并单方面终止合同。</w:t>
      </w:r>
    </w:p>
    <w:p w14:paraId="5C616034">
      <w:p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中标供应商如出现弄虚作假、伪造维保记录、谎报故障或隐瞒故障、虚设维修项目等情况每一次最高扣除全年维保费用的3%；消防设施无水，或不能正常启动消防泵，发现一次采购人有权立即终止合同并扣除一个季度维保费。</w:t>
      </w:r>
    </w:p>
    <w:p w14:paraId="58E360D2">
      <w:p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（13）中标</w:t>
      </w:r>
      <w:r>
        <w:rPr>
          <w:rFonts w:hint="eastAsia" w:ascii="Times New Roman" w:hAnsi="Times New Roman" w:eastAsia="仿宋_GB2312" w:cs="Times New Roman"/>
          <w:sz w:val="32"/>
          <w:szCs w:val="32"/>
        </w:rPr>
        <w:t>供应商</w:t>
      </w:r>
      <w:r>
        <w:rPr>
          <w:rFonts w:ascii="Times New Roman" w:hAnsi="Times New Roman" w:eastAsia="仿宋_GB2312" w:cs="Times New Roman"/>
          <w:sz w:val="32"/>
          <w:szCs w:val="32"/>
        </w:rPr>
        <w:t>在服务开始三个月内须向采购人提供本项目服务人员社保缴纳记录，服务期内应根据采购人要求提供相应时间内本项目服务人员社保缴纳记录。</w:t>
      </w:r>
    </w:p>
    <w:p w14:paraId="144C3460">
      <w:pPr>
        <w:spacing w:line="550" w:lineRule="exact"/>
        <w:ind w:firstLine="640" w:firstLineChars="200"/>
        <w:jc w:val="left"/>
        <w:rPr>
          <w:rFonts w:ascii="黑体" w:hAnsi="黑体" w:eastAsia="黑体" w:cs="仿宋_GB2312"/>
          <w:sz w:val="32"/>
          <w:szCs w:val="32"/>
        </w:rPr>
      </w:pPr>
      <w:r>
        <w:rPr>
          <w:rFonts w:ascii="黑体" w:hAnsi="黑体" w:eastAsia="黑体" w:cs="仿宋_GB2312"/>
          <w:sz w:val="32"/>
          <w:szCs w:val="32"/>
        </w:rPr>
        <w:t>九</w:t>
      </w:r>
      <w:r>
        <w:rPr>
          <w:rFonts w:hint="eastAsia" w:ascii="黑体" w:hAnsi="黑体" w:eastAsia="黑体" w:cs="仿宋_GB2312"/>
          <w:sz w:val="32"/>
          <w:szCs w:val="32"/>
        </w:rPr>
        <w:t>、其他要求</w:t>
      </w:r>
    </w:p>
    <w:p w14:paraId="76F8BC36">
      <w:p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（1）中标</w:t>
      </w:r>
      <w:r>
        <w:rPr>
          <w:rFonts w:hint="eastAsia" w:ascii="Times New Roman" w:hAnsi="Times New Roman" w:eastAsia="仿宋_GB2312" w:cs="Times New Roman"/>
          <w:sz w:val="32"/>
          <w:szCs w:val="32"/>
        </w:rPr>
        <w:t>供应商</w:t>
      </w:r>
      <w:r>
        <w:rPr>
          <w:rFonts w:ascii="Times New Roman" w:hAnsi="Times New Roman" w:eastAsia="仿宋_GB2312" w:cs="Times New Roman"/>
          <w:sz w:val="32"/>
          <w:szCs w:val="32"/>
        </w:rPr>
        <w:t>应每月定期对维保范围内现有消防设施进行检查，保证消防设施正常运行。</w:t>
      </w:r>
    </w:p>
    <w:p w14:paraId="37332D15">
      <w:p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（2）维保过程中不得影响采购人正常办公（维修除外）。</w:t>
      </w:r>
    </w:p>
    <w:p w14:paraId="0BFFC7DE">
      <w:p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（3）每月定期进行消防安全检查，及时发现消防隐患并上报采购人并签字确认。如采购人或消防部门在下一巡检周期发现消防专业隐患，视为中标</w:t>
      </w:r>
      <w:r>
        <w:rPr>
          <w:rFonts w:hint="eastAsia" w:ascii="Times New Roman" w:hAnsi="Times New Roman" w:eastAsia="仿宋_GB2312" w:cs="Times New Roman"/>
          <w:sz w:val="32"/>
          <w:szCs w:val="32"/>
        </w:rPr>
        <w:t>供应商</w:t>
      </w:r>
      <w:r>
        <w:rPr>
          <w:rFonts w:ascii="Times New Roman" w:hAnsi="Times New Roman" w:eastAsia="仿宋_GB2312" w:cs="Times New Roman"/>
          <w:sz w:val="32"/>
          <w:szCs w:val="32"/>
        </w:rPr>
        <w:t>没有尽到维保责任。</w:t>
      </w:r>
    </w:p>
    <w:p w14:paraId="18B7980E">
      <w:p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（4）维保过程中，中标</w:t>
      </w:r>
      <w:r>
        <w:rPr>
          <w:rFonts w:hint="eastAsia" w:ascii="Times New Roman" w:hAnsi="Times New Roman" w:eastAsia="仿宋_GB2312" w:cs="Times New Roman"/>
          <w:sz w:val="32"/>
          <w:szCs w:val="32"/>
        </w:rPr>
        <w:t>供应商</w:t>
      </w:r>
      <w:r>
        <w:rPr>
          <w:rFonts w:ascii="Times New Roman" w:hAnsi="Times New Roman" w:eastAsia="仿宋_GB2312" w:cs="Times New Roman"/>
          <w:sz w:val="32"/>
          <w:szCs w:val="32"/>
        </w:rPr>
        <w:t>应注意安全文明施工，穿戴统一制式工作服，不得打赤膊、穿拖鞋；不得随地吐痰、吸烟。</w:t>
      </w:r>
    </w:p>
    <w:p w14:paraId="0C2D1CF1">
      <w:p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（5）中标</w:t>
      </w:r>
      <w:r>
        <w:rPr>
          <w:rFonts w:hint="eastAsia" w:ascii="Times New Roman" w:hAnsi="Times New Roman" w:eastAsia="仿宋_GB2312" w:cs="Times New Roman"/>
          <w:sz w:val="32"/>
          <w:szCs w:val="32"/>
        </w:rPr>
        <w:t>供应商</w:t>
      </w:r>
      <w:r>
        <w:rPr>
          <w:rFonts w:ascii="Times New Roman" w:hAnsi="Times New Roman" w:eastAsia="仿宋_GB2312" w:cs="Times New Roman"/>
          <w:sz w:val="32"/>
          <w:szCs w:val="32"/>
        </w:rPr>
        <w:t>负责其工作人员的人身安全及保险，工作人员及现场作业人员应具有相应从业资格。</w:t>
      </w:r>
    </w:p>
    <w:p w14:paraId="4AF1C4D4">
      <w:p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（6）中标</w:t>
      </w:r>
      <w:r>
        <w:rPr>
          <w:rFonts w:hint="eastAsia" w:ascii="Times New Roman" w:hAnsi="Times New Roman" w:eastAsia="仿宋_GB2312" w:cs="Times New Roman"/>
          <w:sz w:val="32"/>
          <w:szCs w:val="32"/>
        </w:rPr>
        <w:t>供应商</w:t>
      </w:r>
      <w:r>
        <w:rPr>
          <w:rFonts w:ascii="Times New Roman" w:hAnsi="Times New Roman" w:eastAsia="仿宋_GB2312" w:cs="Times New Roman"/>
          <w:sz w:val="32"/>
          <w:szCs w:val="32"/>
        </w:rPr>
        <w:t>变更项目代表，应书面通知采购人。</w:t>
      </w:r>
    </w:p>
    <w:p w14:paraId="6E834E58">
      <w:p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（7）在完成本合同约定的维护保养工作后，应</w:t>
      </w:r>
      <w:r>
        <w:rPr>
          <w:rFonts w:hint="eastAsia" w:ascii="Times New Roman" w:hAnsi="Times New Roman" w:eastAsia="仿宋_GB2312" w:cs="Times New Roman"/>
          <w:sz w:val="32"/>
          <w:szCs w:val="32"/>
        </w:rPr>
        <w:t>形成</w:t>
      </w:r>
      <w:r>
        <w:rPr>
          <w:rFonts w:ascii="Times New Roman" w:hAnsi="Times New Roman" w:eastAsia="仿宋_GB2312" w:cs="Times New Roman"/>
          <w:sz w:val="32"/>
          <w:szCs w:val="32"/>
        </w:rPr>
        <w:t>维护报告书，经采购人</w:t>
      </w:r>
      <w:r>
        <w:rPr>
          <w:rFonts w:hint="eastAsia" w:ascii="Times New Roman" w:hAnsi="Times New Roman" w:eastAsia="仿宋_GB2312" w:cs="Times New Roman"/>
          <w:sz w:val="32"/>
          <w:szCs w:val="32"/>
        </w:rPr>
        <w:t>确认</w:t>
      </w:r>
      <w:r>
        <w:rPr>
          <w:rFonts w:ascii="Times New Roman" w:hAnsi="Times New Roman" w:eastAsia="仿宋_GB2312" w:cs="Times New Roman"/>
          <w:sz w:val="32"/>
          <w:szCs w:val="32"/>
        </w:rPr>
        <w:t>后存档。</w:t>
      </w:r>
    </w:p>
    <w:p w14:paraId="5E4EEE1A">
      <w:p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（8）中标</w:t>
      </w:r>
      <w:r>
        <w:rPr>
          <w:rFonts w:hint="eastAsia" w:ascii="Times New Roman" w:hAnsi="Times New Roman" w:eastAsia="仿宋_GB2312" w:cs="Times New Roman"/>
          <w:sz w:val="32"/>
          <w:szCs w:val="32"/>
        </w:rPr>
        <w:t>供应商</w:t>
      </w:r>
      <w:r>
        <w:rPr>
          <w:rFonts w:ascii="Times New Roman" w:hAnsi="Times New Roman" w:eastAsia="仿宋_GB2312" w:cs="Times New Roman"/>
          <w:sz w:val="32"/>
          <w:szCs w:val="32"/>
        </w:rPr>
        <w:t>应建立和健全维保技术档案，包括设备说明书、技术资料、重要设备的出厂试验等原始资料，设备投运后的大修资料、重大技术改造资料，重大缺陷和事故情况等原始记录，历年的预试和维修记录等档案资料。在本合同解除或终止后，中标</w:t>
      </w:r>
      <w:r>
        <w:rPr>
          <w:rFonts w:hint="eastAsia" w:ascii="Times New Roman" w:hAnsi="Times New Roman" w:eastAsia="仿宋_GB2312" w:cs="Times New Roman"/>
          <w:sz w:val="32"/>
          <w:szCs w:val="32"/>
        </w:rPr>
        <w:t>供应商</w:t>
      </w:r>
      <w:r>
        <w:rPr>
          <w:rFonts w:ascii="Times New Roman" w:hAnsi="Times New Roman" w:eastAsia="仿宋_GB2312" w:cs="Times New Roman"/>
          <w:sz w:val="32"/>
          <w:szCs w:val="32"/>
        </w:rPr>
        <w:t>应将本条所述的相关技术档案全部移交采购人或采购人指定方。</w:t>
      </w:r>
    </w:p>
    <w:p w14:paraId="537A54DA">
      <w:p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（9）中标</w:t>
      </w:r>
      <w:r>
        <w:rPr>
          <w:rFonts w:hint="eastAsia" w:ascii="Times New Roman" w:hAnsi="Times New Roman" w:eastAsia="仿宋_GB2312" w:cs="Times New Roman"/>
          <w:sz w:val="32"/>
          <w:szCs w:val="32"/>
        </w:rPr>
        <w:t>供应商</w:t>
      </w:r>
      <w:r>
        <w:rPr>
          <w:rFonts w:ascii="Times New Roman" w:hAnsi="Times New Roman" w:eastAsia="仿宋_GB2312" w:cs="Times New Roman"/>
          <w:sz w:val="32"/>
          <w:szCs w:val="32"/>
        </w:rPr>
        <w:t>有责任修缮维保物及其相关配件。若确系无法修复，应及时联系有关供货商，并向采购人提供最为合理的解决方案。维保期间的维修不再收取上门费及人工费。</w:t>
      </w:r>
    </w:p>
    <w:p w14:paraId="4611F582">
      <w:p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（10）维保物部件发生需报废、调换、取回维修等情况时，中标</w:t>
      </w:r>
      <w:r>
        <w:rPr>
          <w:rFonts w:hint="eastAsia" w:ascii="Times New Roman" w:hAnsi="Times New Roman" w:eastAsia="仿宋_GB2312" w:cs="Times New Roman"/>
          <w:sz w:val="32"/>
          <w:szCs w:val="32"/>
        </w:rPr>
        <w:t>供应商</w:t>
      </w:r>
      <w:r>
        <w:rPr>
          <w:rFonts w:ascii="Times New Roman" w:hAnsi="Times New Roman" w:eastAsia="仿宋_GB2312" w:cs="Times New Roman"/>
          <w:sz w:val="32"/>
          <w:szCs w:val="32"/>
        </w:rPr>
        <w:t>应经采购人审核后处置。中标</w:t>
      </w:r>
      <w:r>
        <w:rPr>
          <w:rFonts w:hint="eastAsia" w:ascii="Times New Roman" w:hAnsi="Times New Roman" w:eastAsia="仿宋_GB2312" w:cs="Times New Roman"/>
          <w:sz w:val="32"/>
          <w:szCs w:val="32"/>
        </w:rPr>
        <w:t>供应商</w:t>
      </w:r>
      <w:r>
        <w:rPr>
          <w:rFonts w:ascii="Times New Roman" w:hAnsi="Times New Roman" w:eastAsia="仿宋_GB2312" w:cs="Times New Roman"/>
          <w:sz w:val="32"/>
          <w:szCs w:val="32"/>
        </w:rPr>
        <w:t>擅自处置维保物上拆下部件致该部件灭失或损坏的，应按该部件的市场价向采购人进行赔偿。</w:t>
      </w:r>
    </w:p>
    <w:p w14:paraId="75E8393D">
      <w:p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（11）中标</w:t>
      </w:r>
      <w:r>
        <w:rPr>
          <w:rFonts w:hint="eastAsia" w:ascii="Times New Roman" w:hAnsi="Times New Roman" w:eastAsia="仿宋_GB2312" w:cs="Times New Roman"/>
          <w:sz w:val="32"/>
          <w:szCs w:val="32"/>
        </w:rPr>
        <w:t>供应商</w:t>
      </w:r>
      <w:r>
        <w:rPr>
          <w:rFonts w:ascii="Times New Roman" w:hAnsi="Times New Roman" w:eastAsia="仿宋_GB2312" w:cs="Times New Roman"/>
          <w:sz w:val="32"/>
          <w:szCs w:val="32"/>
        </w:rPr>
        <w:t>维保</w:t>
      </w:r>
      <w:r>
        <w:rPr>
          <w:rFonts w:hint="eastAsia" w:ascii="Times New Roman" w:hAnsi="Times New Roman" w:eastAsia="仿宋_GB2312" w:cs="Times New Roman"/>
          <w:sz w:val="32"/>
          <w:szCs w:val="32"/>
        </w:rPr>
        <w:t>工作</w:t>
      </w:r>
      <w:r>
        <w:rPr>
          <w:rFonts w:ascii="Times New Roman" w:hAnsi="Times New Roman" w:eastAsia="仿宋_GB2312" w:cs="Times New Roman"/>
          <w:sz w:val="32"/>
          <w:szCs w:val="32"/>
        </w:rPr>
        <w:t>人员去现场前应提前通知采购人。在现场维护保养期间，须遵守采购人的管理制度，文明施工，并严格遵守安全操作规范。</w:t>
      </w:r>
    </w:p>
    <w:p w14:paraId="4B872178">
      <w:p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（12）中标</w:t>
      </w:r>
      <w:r>
        <w:rPr>
          <w:rFonts w:hint="eastAsia" w:ascii="Times New Roman" w:hAnsi="Times New Roman" w:eastAsia="仿宋_GB2312" w:cs="Times New Roman"/>
          <w:sz w:val="32"/>
          <w:szCs w:val="32"/>
        </w:rPr>
        <w:t>供应商</w:t>
      </w:r>
      <w:r>
        <w:rPr>
          <w:rFonts w:ascii="Times New Roman" w:hAnsi="Times New Roman" w:eastAsia="仿宋_GB2312" w:cs="Times New Roman"/>
          <w:sz w:val="32"/>
          <w:szCs w:val="32"/>
        </w:rPr>
        <w:t>应按采购人要求定期</w:t>
      </w:r>
      <w:r>
        <w:rPr>
          <w:rFonts w:hint="eastAsia" w:ascii="Times New Roman" w:hAnsi="Times New Roman" w:eastAsia="仿宋_GB2312" w:cs="Times New Roman"/>
          <w:sz w:val="32"/>
          <w:szCs w:val="32"/>
        </w:rPr>
        <w:t>形成</w:t>
      </w:r>
      <w:r>
        <w:rPr>
          <w:rFonts w:ascii="Times New Roman" w:hAnsi="Times New Roman" w:eastAsia="仿宋_GB2312" w:cs="Times New Roman"/>
          <w:sz w:val="32"/>
          <w:szCs w:val="32"/>
        </w:rPr>
        <w:t>《设施、设备维保报告》，并及时提交采购人。</w:t>
      </w:r>
    </w:p>
    <w:p w14:paraId="74FF16E3">
      <w:p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（13）未经采购人书面同意，中标</w:t>
      </w:r>
      <w:r>
        <w:rPr>
          <w:rFonts w:hint="eastAsia" w:ascii="Times New Roman" w:hAnsi="Times New Roman" w:eastAsia="仿宋_GB2312" w:cs="Times New Roman"/>
          <w:sz w:val="32"/>
          <w:szCs w:val="32"/>
        </w:rPr>
        <w:t>供应商</w:t>
      </w:r>
      <w:r>
        <w:rPr>
          <w:rFonts w:ascii="Times New Roman" w:hAnsi="Times New Roman" w:eastAsia="仿宋_GB2312" w:cs="Times New Roman"/>
          <w:sz w:val="32"/>
          <w:szCs w:val="32"/>
        </w:rPr>
        <w:t>不得将对合同内容的部分或全部转让给第三方。经采购人书面同意中标</w:t>
      </w:r>
      <w:r>
        <w:rPr>
          <w:rFonts w:hint="eastAsia" w:ascii="Times New Roman" w:hAnsi="Times New Roman" w:eastAsia="仿宋_GB2312" w:cs="Times New Roman"/>
          <w:sz w:val="32"/>
          <w:szCs w:val="32"/>
        </w:rPr>
        <w:t>供应商</w:t>
      </w:r>
      <w:r>
        <w:rPr>
          <w:rFonts w:ascii="Times New Roman" w:hAnsi="Times New Roman" w:eastAsia="仿宋_GB2312" w:cs="Times New Roman"/>
          <w:sz w:val="32"/>
          <w:szCs w:val="32"/>
        </w:rPr>
        <w:t>转让本项目的，中标</w:t>
      </w:r>
      <w:r>
        <w:rPr>
          <w:rFonts w:hint="eastAsia" w:ascii="Times New Roman" w:hAnsi="Times New Roman" w:eastAsia="仿宋_GB2312" w:cs="Times New Roman"/>
          <w:sz w:val="32"/>
          <w:szCs w:val="32"/>
        </w:rPr>
        <w:t>供应商</w:t>
      </w:r>
      <w:r>
        <w:rPr>
          <w:rFonts w:ascii="Times New Roman" w:hAnsi="Times New Roman" w:eastAsia="仿宋_GB2312" w:cs="Times New Roman"/>
          <w:sz w:val="32"/>
          <w:szCs w:val="32"/>
        </w:rPr>
        <w:t>应及时报采购人备案并承担第三方的服务费用。</w:t>
      </w:r>
    </w:p>
    <w:p w14:paraId="7FABCB23">
      <w:pPr>
        <w:pStyle w:val="2"/>
        <w:jc w:val="both"/>
        <w:rPr>
          <w:rFonts w:hint="eastAsia" w:ascii="Times New Roman" w:hAnsi="Times New Roman" w:cs="Times New Roman"/>
          <w:sz w:val="32"/>
          <w:szCs w:val="32"/>
          <w:lang w:eastAsia="zh-CN"/>
        </w:rPr>
      </w:pPr>
      <w:r>
        <w:rPr>
          <w:rFonts w:hint="eastAsia" w:ascii="Times New Roman" w:hAnsi="Times New Roman" w:cs="Times New Roman"/>
          <w:sz w:val="32"/>
          <w:szCs w:val="32"/>
          <w:lang w:eastAsia="zh-CN"/>
        </w:rPr>
        <w:t>十、评分标准</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1"/>
        <w:gridCol w:w="1696"/>
        <w:gridCol w:w="5540"/>
        <w:gridCol w:w="835"/>
      </w:tblGrid>
      <w:tr w14:paraId="4E7F0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7" w:type="dxa"/>
            <w:gridSpan w:val="3"/>
            <w:noWrap w:val="0"/>
            <w:vAlign w:val="center"/>
          </w:tcPr>
          <w:p w14:paraId="668EA564">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color w:val="000000"/>
                <w:kern w:val="0"/>
                <w:sz w:val="28"/>
                <w:szCs w:val="28"/>
              </w:rPr>
            </w:pPr>
            <w:r>
              <w:rPr>
                <w:rFonts w:hint="eastAsia"/>
                <w:color w:val="000000"/>
                <w:kern w:val="0"/>
                <w:sz w:val="28"/>
                <w:szCs w:val="28"/>
                <w:lang w:val="en-US" w:eastAsia="zh-CN"/>
              </w:rPr>
              <w:t>评标标准及因素</w:t>
            </w:r>
          </w:p>
        </w:tc>
        <w:tc>
          <w:tcPr>
            <w:tcW w:w="835" w:type="dxa"/>
            <w:noWrap w:val="0"/>
            <w:vAlign w:val="center"/>
          </w:tcPr>
          <w:p w14:paraId="3A2FE8FF">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color w:val="000000"/>
                <w:kern w:val="0"/>
                <w:sz w:val="28"/>
                <w:szCs w:val="28"/>
              </w:rPr>
            </w:pPr>
            <w:r>
              <w:rPr>
                <w:color w:val="000000"/>
                <w:kern w:val="0"/>
                <w:sz w:val="28"/>
                <w:szCs w:val="28"/>
              </w:rPr>
              <w:t>分值</w:t>
            </w:r>
          </w:p>
        </w:tc>
      </w:tr>
      <w:tr w14:paraId="61FBF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noWrap w:val="0"/>
            <w:vAlign w:val="center"/>
          </w:tcPr>
          <w:p w14:paraId="5AAD6F1F">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color w:val="000000"/>
                <w:kern w:val="0"/>
                <w:sz w:val="28"/>
                <w:szCs w:val="28"/>
              </w:rPr>
            </w:pPr>
            <w:r>
              <w:rPr>
                <w:rFonts w:hint="eastAsia"/>
                <w:color w:val="000000"/>
                <w:kern w:val="0"/>
                <w:sz w:val="28"/>
                <w:szCs w:val="28"/>
              </w:rPr>
              <w:t>1</w:t>
            </w:r>
          </w:p>
        </w:tc>
        <w:tc>
          <w:tcPr>
            <w:tcW w:w="1696" w:type="dxa"/>
            <w:noWrap w:val="0"/>
            <w:vAlign w:val="center"/>
          </w:tcPr>
          <w:p w14:paraId="65250987">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color w:val="000000"/>
                <w:kern w:val="0"/>
                <w:sz w:val="28"/>
                <w:szCs w:val="28"/>
              </w:rPr>
            </w:pPr>
            <w:r>
              <w:rPr>
                <w:rFonts w:hint="eastAsia"/>
                <w:color w:val="000000"/>
                <w:kern w:val="0"/>
                <w:sz w:val="28"/>
                <w:szCs w:val="28"/>
              </w:rPr>
              <w:t>价格</w:t>
            </w:r>
          </w:p>
        </w:tc>
        <w:tc>
          <w:tcPr>
            <w:tcW w:w="5540" w:type="dxa"/>
            <w:noWrap w:val="0"/>
            <w:vAlign w:val="center"/>
          </w:tcPr>
          <w:p w14:paraId="47AE8D24">
            <w:pPr>
              <w:keepNext w:val="0"/>
              <w:keepLines w:val="0"/>
              <w:pageBreakBefore w:val="0"/>
              <w:widowControl/>
              <w:kinsoku/>
              <w:wordWrap/>
              <w:overflowPunct/>
              <w:topLinePunct w:val="0"/>
              <w:autoSpaceDE/>
              <w:autoSpaceDN/>
              <w:bidi w:val="0"/>
              <w:adjustRightInd/>
              <w:snapToGrid w:val="0"/>
              <w:spacing w:line="560" w:lineRule="exact"/>
              <w:textAlignment w:val="auto"/>
              <w:rPr>
                <w:color w:val="000000"/>
                <w:kern w:val="0"/>
                <w:sz w:val="28"/>
                <w:szCs w:val="28"/>
              </w:rPr>
            </w:pPr>
            <w:r>
              <w:rPr>
                <w:rFonts w:hint="eastAsia"/>
                <w:color w:val="000000"/>
                <w:kern w:val="0"/>
                <w:sz w:val="28"/>
                <w:szCs w:val="28"/>
              </w:rPr>
              <w:t>（1）投标报价超过采购预算的，投标无效，未超过采购预算的投标报价按以下公式进行计算</w:t>
            </w:r>
          </w:p>
          <w:p w14:paraId="29B8D007">
            <w:pPr>
              <w:keepNext w:val="0"/>
              <w:keepLines w:val="0"/>
              <w:pageBreakBefore w:val="0"/>
              <w:widowControl/>
              <w:kinsoku/>
              <w:wordWrap/>
              <w:overflowPunct/>
              <w:topLinePunct w:val="0"/>
              <w:autoSpaceDE/>
              <w:autoSpaceDN/>
              <w:bidi w:val="0"/>
              <w:adjustRightInd/>
              <w:snapToGrid w:val="0"/>
              <w:spacing w:line="560" w:lineRule="exact"/>
              <w:textAlignment w:val="auto"/>
              <w:rPr>
                <w:rFonts w:hint="default" w:eastAsia="宋体"/>
                <w:color w:val="000000"/>
                <w:kern w:val="0"/>
                <w:sz w:val="28"/>
                <w:szCs w:val="28"/>
                <w:lang w:val="en-US" w:eastAsia="zh-CN"/>
              </w:rPr>
            </w:pPr>
            <w:r>
              <w:rPr>
                <w:rFonts w:hint="eastAsia"/>
                <w:color w:val="000000"/>
                <w:kern w:val="0"/>
                <w:sz w:val="28"/>
                <w:szCs w:val="28"/>
              </w:rPr>
              <w:t>（2）投标报价得分=（评标基准价/投标报价）×</w:t>
            </w:r>
            <w:r>
              <w:rPr>
                <w:rFonts w:hint="eastAsia"/>
                <w:color w:val="000000"/>
                <w:kern w:val="0"/>
                <w:sz w:val="28"/>
                <w:szCs w:val="28"/>
                <w:lang w:val="en-US" w:eastAsia="zh-CN"/>
              </w:rPr>
              <w:t>30</w:t>
            </w:r>
          </w:p>
          <w:p w14:paraId="0978F001">
            <w:pPr>
              <w:keepNext w:val="0"/>
              <w:keepLines w:val="0"/>
              <w:pageBreakBefore w:val="0"/>
              <w:widowControl/>
              <w:kinsoku/>
              <w:wordWrap/>
              <w:overflowPunct/>
              <w:topLinePunct w:val="0"/>
              <w:autoSpaceDE/>
              <w:autoSpaceDN/>
              <w:bidi w:val="0"/>
              <w:adjustRightInd/>
              <w:snapToGrid w:val="0"/>
              <w:spacing w:line="560" w:lineRule="exact"/>
              <w:textAlignment w:val="auto"/>
              <w:rPr>
                <w:color w:val="000000"/>
                <w:kern w:val="0"/>
                <w:sz w:val="28"/>
                <w:szCs w:val="28"/>
              </w:rPr>
            </w:pPr>
            <w:r>
              <w:rPr>
                <w:rFonts w:hint="eastAsia"/>
                <w:color w:val="000000"/>
                <w:kern w:val="0"/>
                <w:sz w:val="28"/>
                <w:szCs w:val="28"/>
              </w:rPr>
              <w:t>注：满足</w:t>
            </w:r>
            <w:r>
              <w:rPr>
                <w:rFonts w:hint="eastAsia"/>
                <w:color w:val="000000"/>
                <w:kern w:val="0"/>
                <w:sz w:val="28"/>
                <w:szCs w:val="28"/>
                <w:lang w:eastAsia="zh-CN"/>
              </w:rPr>
              <w:t>本项目需求书</w:t>
            </w:r>
            <w:r>
              <w:rPr>
                <w:rFonts w:hint="eastAsia"/>
                <w:color w:val="000000"/>
                <w:kern w:val="0"/>
                <w:sz w:val="28"/>
                <w:szCs w:val="28"/>
              </w:rPr>
              <w:t>要求且投标报价最低的投标报价为评标基准价。</w:t>
            </w:r>
          </w:p>
        </w:tc>
        <w:tc>
          <w:tcPr>
            <w:tcW w:w="835" w:type="dxa"/>
            <w:noWrap w:val="0"/>
            <w:vAlign w:val="center"/>
          </w:tcPr>
          <w:p w14:paraId="54C340B4">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color w:val="000000"/>
                <w:kern w:val="0"/>
                <w:sz w:val="28"/>
                <w:szCs w:val="28"/>
              </w:rPr>
            </w:pPr>
            <w:r>
              <w:rPr>
                <w:rFonts w:hint="eastAsia"/>
                <w:color w:val="000000"/>
                <w:kern w:val="0"/>
                <w:sz w:val="28"/>
                <w:szCs w:val="28"/>
                <w:lang w:val="en-US" w:eastAsia="zh-CN"/>
              </w:rPr>
              <w:t>30</w:t>
            </w:r>
            <w:r>
              <w:rPr>
                <w:rFonts w:hint="eastAsia"/>
                <w:color w:val="000000"/>
                <w:kern w:val="0"/>
                <w:sz w:val="28"/>
                <w:szCs w:val="28"/>
              </w:rPr>
              <w:t>分</w:t>
            </w:r>
          </w:p>
        </w:tc>
      </w:tr>
      <w:tr w14:paraId="72C40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noWrap w:val="0"/>
            <w:vAlign w:val="center"/>
          </w:tcPr>
          <w:p w14:paraId="2DC513C9">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eastAsia="宋体"/>
                <w:color w:val="000000"/>
                <w:kern w:val="0"/>
                <w:sz w:val="28"/>
                <w:szCs w:val="28"/>
                <w:lang w:eastAsia="zh-CN"/>
              </w:rPr>
            </w:pPr>
            <w:r>
              <w:rPr>
                <w:rFonts w:hint="eastAsia"/>
                <w:color w:val="000000"/>
                <w:kern w:val="0"/>
                <w:sz w:val="28"/>
                <w:szCs w:val="28"/>
                <w:lang w:val="en-US" w:eastAsia="zh-CN"/>
              </w:rPr>
              <w:t>2</w:t>
            </w:r>
          </w:p>
        </w:tc>
        <w:tc>
          <w:tcPr>
            <w:tcW w:w="1696" w:type="dxa"/>
            <w:noWrap w:val="0"/>
            <w:vAlign w:val="center"/>
          </w:tcPr>
          <w:p w14:paraId="6910A8F9">
            <w:pPr>
              <w:keepNext w:val="0"/>
              <w:keepLines w:val="0"/>
              <w:pageBreakBefore w:val="0"/>
              <w:kinsoku/>
              <w:wordWrap/>
              <w:overflowPunct/>
              <w:topLinePunct w:val="0"/>
              <w:autoSpaceDE/>
              <w:autoSpaceDN/>
              <w:bidi w:val="0"/>
              <w:adjustRightInd/>
              <w:spacing w:line="560" w:lineRule="exact"/>
              <w:jc w:val="center"/>
              <w:textAlignment w:val="auto"/>
              <w:rPr>
                <w:bCs/>
                <w:color w:val="000000"/>
                <w:sz w:val="28"/>
                <w:szCs w:val="24"/>
              </w:rPr>
            </w:pPr>
            <w:r>
              <w:rPr>
                <w:rFonts w:hint="eastAsia"/>
                <w:color w:val="000000"/>
                <w:kern w:val="0"/>
                <w:sz w:val="28"/>
                <w:szCs w:val="28"/>
              </w:rPr>
              <w:t>供应商履约能力</w:t>
            </w:r>
          </w:p>
        </w:tc>
        <w:tc>
          <w:tcPr>
            <w:tcW w:w="5540" w:type="dxa"/>
            <w:noWrap w:val="0"/>
            <w:vAlign w:val="center"/>
          </w:tcPr>
          <w:p w14:paraId="2E171488">
            <w:pPr>
              <w:keepNext w:val="0"/>
              <w:keepLines w:val="0"/>
              <w:pageBreakBefore w:val="0"/>
              <w:widowControl/>
              <w:kinsoku/>
              <w:wordWrap/>
              <w:overflowPunct/>
              <w:topLinePunct w:val="0"/>
              <w:autoSpaceDE/>
              <w:autoSpaceDN/>
              <w:bidi w:val="0"/>
              <w:adjustRightInd/>
              <w:snapToGrid w:val="0"/>
              <w:spacing w:line="560" w:lineRule="exact"/>
              <w:textAlignment w:val="auto"/>
              <w:rPr>
                <w:rFonts w:hint="eastAsia" w:eastAsia="宋体" w:cs="Times New Roman"/>
                <w:color w:val="000000"/>
                <w:kern w:val="0"/>
                <w:sz w:val="28"/>
                <w:szCs w:val="28"/>
                <w:lang w:eastAsia="zh-CN"/>
              </w:rPr>
            </w:pPr>
            <w:r>
              <w:rPr>
                <w:rFonts w:hint="eastAsia" w:eastAsia="宋体" w:cs="Times New Roman"/>
                <w:color w:val="000000"/>
                <w:kern w:val="0"/>
                <w:sz w:val="28"/>
                <w:szCs w:val="28"/>
                <w:lang w:eastAsia="zh-CN"/>
              </w:rPr>
              <w:t>按照以下要求提供监控维保或维修的业绩，提供的证明材料均不得遮挡涂黑，否则不予认定加分。具体要求如下：</w:t>
            </w:r>
          </w:p>
          <w:p w14:paraId="2E1880CA">
            <w:pPr>
              <w:keepNext w:val="0"/>
              <w:keepLines w:val="0"/>
              <w:pageBreakBefore w:val="0"/>
              <w:widowControl/>
              <w:kinsoku/>
              <w:wordWrap/>
              <w:overflowPunct/>
              <w:topLinePunct w:val="0"/>
              <w:autoSpaceDE/>
              <w:autoSpaceDN/>
              <w:bidi w:val="0"/>
              <w:adjustRightInd/>
              <w:snapToGrid w:val="0"/>
              <w:spacing w:line="560" w:lineRule="exact"/>
              <w:textAlignment w:val="auto"/>
              <w:rPr>
                <w:rFonts w:hint="eastAsia" w:eastAsia="宋体" w:cs="Times New Roman"/>
                <w:color w:val="000000"/>
                <w:kern w:val="0"/>
                <w:sz w:val="28"/>
                <w:szCs w:val="28"/>
                <w:lang w:eastAsia="zh-CN"/>
              </w:rPr>
            </w:pPr>
            <w:r>
              <w:rPr>
                <w:rFonts w:hint="eastAsia" w:eastAsia="宋体" w:cs="Times New Roman"/>
                <w:color w:val="000000"/>
                <w:kern w:val="0"/>
                <w:sz w:val="28"/>
                <w:szCs w:val="28"/>
                <w:lang w:eastAsia="zh-CN"/>
              </w:rPr>
              <w:t>A. 合同扫描件，包括合同金额、买卖双方名称及盖章、服务内容、合同签订时间（应为20</w:t>
            </w:r>
            <w:r>
              <w:rPr>
                <w:rFonts w:hint="eastAsia" w:eastAsia="宋体" w:cs="Times New Roman"/>
                <w:color w:val="000000"/>
                <w:kern w:val="0"/>
                <w:sz w:val="28"/>
                <w:szCs w:val="28"/>
                <w:lang w:val="en-US" w:eastAsia="zh-CN"/>
              </w:rPr>
              <w:t>22</w:t>
            </w:r>
            <w:r>
              <w:rPr>
                <w:rFonts w:hint="eastAsia" w:eastAsia="宋体" w:cs="Times New Roman"/>
                <w:color w:val="000000"/>
                <w:kern w:val="0"/>
                <w:sz w:val="28"/>
                <w:szCs w:val="28"/>
                <w:lang w:eastAsia="zh-CN"/>
              </w:rPr>
              <w:t>年1月1日或以后）。</w:t>
            </w:r>
          </w:p>
          <w:p w14:paraId="3DAF5A61">
            <w:pPr>
              <w:keepNext w:val="0"/>
              <w:keepLines w:val="0"/>
              <w:pageBreakBefore w:val="0"/>
              <w:widowControl/>
              <w:kinsoku/>
              <w:wordWrap/>
              <w:overflowPunct/>
              <w:topLinePunct w:val="0"/>
              <w:autoSpaceDE/>
              <w:autoSpaceDN/>
              <w:bidi w:val="0"/>
              <w:adjustRightInd/>
              <w:snapToGrid w:val="0"/>
              <w:spacing w:line="560" w:lineRule="exact"/>
              <w:textAlignment w:val="auto"/>
              <w:rPr>
                <w:rFonts w:hint="eastAsia" w:eastAsia="宋体" w:cs="Times New Roman"/>
                <w:color w:val="000000"/>
                <w:kern w:val="0"/>
                <w:sz w:val="28"/>
                <w:szCs w:val="28"/>
                <w:lang w:eastAsia="zh-CN"/>
              </w:rPr>
            </w:pPr>
            <w:r>
              <w:rPr>
                <w:rFonts w:hint="eastAsia" w:eastAsia="宋体" w:cs="Times New Roman"/>
                <w:color w:val="000000"/>
                <w:kern w:val="0"/>
                <w:sz w:val="28"/>
                <w:szCs w:val="28"/>
                <w:lang w:eastAsia="zh-CN"/>
              </w:rPr>
              <w:t>B. 上述合同履行良好的相关证明材料原件扫描件（加盖上述合同甲方单位公章或上述合同中所盖的甲方印章）。</w:t>
            </w:r>
          </w:p>
          <w:p w14:paraId="529764C5">
            <w:pPr>
              <w:keepNext w:val="0"/>
              <w:keepLines w:val="0"/>
              <w:pageBreakBefore w:val="0"/>
              <w:widowControl/>
              <w:kinsoku/>
              <w:wordWrap/>
              <w:overflowPunct/>
              <w:topLinePunct w:val="0"/>
              <w:autoSpaceDE/>
              <w:autoSpaceDN/>
              <w:bidi w:val="0"/>
              <w:adjustRightInd/>
              <w:snapToGrid w:val="0"/>
              <w:spacing w:line="560" w:lineRule="exact"/>
              <w:textAlignment w:val="auto"/>
              <w:rPr>
                <w:rFonts w:hint="eastAsia" w:eastAsia="宋体" w:cs="Times New Roman"/>
                <w:color w:val="000000"/>
                <w:kern w:val="0"/>
                <w:sz w:val="28"/>
                <w:szCs w:val="28"/>
                <w:lang w:eastAsia="zh-CN"/>
              </w:rPr>
            </w:pPr>
            <w:r>
              <w:rPr>
                <w:rFonts w:hint="eastAsia" w:eastAsia="宋体" w:cs="Times New Roman"/>
                <w:color w:val="000000"/>
                <w:kern w:val="0"/>
                <w:sz w:val="28"/>
                <w:szCs w:val="28"/>
                <w:lang w:eastAsia="zh-CN"/>
              </w:rPr>
              <w:t>每个业绩</w:t>
            </w:r>
            <w:r>
              <w:rPr>
                <w:rFonts w:hint="eastAsia" w:eastAsia="宋体" w:cs="Times New Roman"/>
                <w:color w:val="000000"/>
                <w:kern w:val="0"/>
                <w:sz w:val="28"/>
                <w:szCs w:val="28"/>
                <w:lang w:val="en-US" w:eastAsia="zh-CN"/>
              </w:rPr>
              <w:t>3</w:t>
            </w:r>
            <w:r>
              <w:rPr>
                <w:rFonts w:hint="eastAsia" w:eastAsia="宋体" w:cs="Times New Roman"/>
                <w:color w:val="000000"/>
                <w:kern w:val="0"/>
                <w:sz w:val="28"/>
                <w:szCs w:val="28"/>
                <w:lang w:eastAsia="zh-CN"/>
              </w:rPr>
              <w:t>分，最多</w:t>
            </w:r>
            <w:r>
              <w:rPr>
                <w:rFonts w:hint="eastAsia" w:eastAsia="宋体" w:cs="Times New Roman"/>
                <w:color w:val="000000"/>
                <w:kern w:val="0"/>
                <w:sz w:val="28"/>
                <w:szCs w:val="28"/>
                <w:lang w:val="en-US" w:eastAsia="zh-CN"/>
              </w:rPr>
              <w:t>6</w:t>
            </w:r>
            <w:r>
              <w:rPr>
                <w:rFonts w:hint="eastAsia" w:eastAsia="宋体" w:cs="Times New Roman"/>
                <w:color w:val="000000"/>
                <w:kern w:val="0"/>
                <w:sz w:val="28"/>
                <w:szCs w:val="28"/>
                <w:lang w:eastAsia="zh-CN"/>
              </w:rPr>
              <w:t>分</w:t>
            </w:r>
          </w:p>
          <w:p w14:paraId="1BD51ADB">
            <w:pPr>
              <w:keepNext w:val="0"/>
              <w:keepLines w:val="0"/>
              <w:pageBreakBefore w:val="0"/>
              <w:widowControl/>
              <w:kinsoku/>
              <w:wordWrap/>
              <w:overflowPunct/>
              <w:topLinePunct w:val="0"/>
              <w:autoSpaceDE/>
              <w:autoSpaceDN/>
              <w:bidi w:val="0"/>
              <w:adjustRightInd/>
              <w:snapToGrid w:val="0"/>
              <w:spacing w:line="560" w:lineRule="exact"/>
              <w:textAlignment w:val="auto"/>
              <w:rPr>
                <w:rFonts w:hint="eastAsia" w:eastAsia="宋体" w:cs="Times New Roman"/>
                <w:color w:val="000000"/>
                <w:kern w:val="0"/>
                <w:sz w:val="28"/>
                <w:szCs w:val="28"/>
                <w:lang w:val="en-US" w:eastAsia="zh-CN"/>
              </w:rPr>
            </w:pPr>
            <w:r>
              <w:rPr>
                <w:rFonts w:hint="eastAsia" w:eastAsia="宋体" w:cs="Times New Roman"/>
                <w:color w:val="000000"/>
                <w:kern w:val="0"/>
                <w:sz w:val="28"/>
                <w:szCs w:val="28"/>
                <w:lang w:eastAsia="zh-CN"/>
              </w:rPr>
              <w:t>注：</w:t>
            </w:r>
            <w:r>
              <w:rPr>
                <w:rFonts w:hint="eastAsia" w:eastAsia="宋体" w:cs="Times New Roman"/>
                <w:color w:val="000000"/>
                <w:kern w:val="0"/>
                <w:sz w:val="28"/>
                <w:szCs w:val="28"/>
                <w:lang w:val="en-US" w:eastAsia="zh-CN"/>
              </w:rPr>
              <w:t>A、B两项须同时提供才能得分。</w:t>
            </w:r>
          </w:p>
          <w:p w14:paraId="73A6947B">
            <w:pPr>
              <w:keepNext w:val="0"/>
              <w:keepLines w:val="0"/>
              <w:pageBreakBefore w:val="0"/>
              <w:widowControl/>
              <w:kinsoku/>
              <w:wordWrap/>
              <w:overflowPunct/>
              <w:topLinePunct w:val="0"/>
              <w:autoSpaceDE/>
              <w:autoSpaceDN/>
              <w:bidi w:val="0"/>
              <w:adjustRightInd/>
              <w:snapToGrid w:val="0"/>
              <w:spacing w:line="560" w:lineRule="exact"/>
              <w:textAlignment w:val="auto"/>
              <w:rPr>
                <w:rFonts w:hint="default"/>
                <w:color w:val="000000"/>
                <w:kern w:val="0"/>
                <w:sz w:val="28"/>
                <w:szCs w:val="28"/>
                <w:lang w:val="en-US" w:eastAsia="zh-CN"/>
              </w:rPr>
            </w:pPr>
          </w:p>
        </w:tc>
        <w:tc>
          <w:tcPr>
            <w:tcW w:w="835" w:type="dxa"/>
            <w:noWrap w:val="0"/>
            <w:vAlign w:val="center"/>
          </w:tcPr>
          <w:p w14:paraId="60C8D602">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eastAsia="宋体"/>
                <w:color w:val="000000"/>
                <w:kern w:val="0"/>
                <w:sz w:val="28"/>
                <w:szCs w:val="28"/>
                <w:lang w:val="en-US" w:eastAsia="zh-CN"/>
              </w:rPr>
            </w:pPr>
            <w:r>
              <w:rPr>
                <w:rFonts w:hint="eastAsia"/>
                <w:color w:val="000000"/>
                <w:kern w:val="0"/>
                <w:sz w:val="28"/>
                <w:szCs w:val="28"/>
                <w:lang w:val="en-US" w:eastAsia="zh-CN"/>
              </w:rPr>
              <w:t>6分</w:t>
            </w:r>
          </w:p>
        </w:tc>
      </w:tr>
      <w:tr w14:paraId="2F2A6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noWrap w:val="0"/>
            <w:vAlign w:val="center"/>
          </w:tcPr>
          <w:p w14:paraId="6DE2B335">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default"/>
                <w:color w:val="000000"/>
                <w:kern w:val="0"/>
                <w:sz w:val="28"/>
                <w:szCs w:val="28"/>
                <w:lang w:val="en-US" w:eastAsia="zh-CN"/>
              </w:rPr>
            </w:pPr>
            <w:r>
              <w:rPr>
                <w:rFonts w:hint="eastAsia"/>
                <w:color w:val="000000"/>
                <w:kern w:val="0"/>
                <w:sz w:val="28"/>
                <w:szCs w:val="28"/>
                <w:lang w:val="en-US" w:eastAsia="zh-CN"/>
              </w:rPr>
              <w:t>3</w:t>
            </w:r>
          </w:p>
        </w:tc>
        <w:tc>
          <w:tcPr>
            <w:tcW w:w="1696" w:type="dxa"/>
            <w:noWrap w:val="0"/>
            <w:vAlign w:val="center"/>
          </w:tcPr>
          <w:p w14:paraId="103AFCFC">
            <w:pPr>
              <w:keepNext w:val="0"/>
              <w:keepLines w:val="0"/>
              <w:pageBreakBefore w:val="0"/>
              <w:kinsoku/>
              <w:wordWrap/>
              <w:overflowPunct/>
              <w:topLinePunct w:val="0"/>
              <w:autoSpaceDE/>
              <w:autoSpaceDN/>
              <w:bidi w:val="0"/>
              <w:adjustRightInd/>
              <w:spacing w:line="560" w:lineRule="exact"/>
              <w:jc w:val="center"/>
              <w:textAlignment w:val="auto"/>
              <w:rPr>
                <w:rFonts w:hint="eastAsia" w:eastAsia="宋体"/>
                <w:color w:val="000000"/>
                <w:kern w:val="0"/>
                <w:sz w:val="28"/>
                <w:szCs w:val="28"/>
                <w:lang w:eastAsia="zh-CN"/>
              </w:rPr>
            </w:pPr>
            <w:r>
              <w:rPr>
                <w:rFonts w:hint="eastAsia"/>
                <w:color w:val="000000"/>
                <w:kern w:val="0"/>
                <w:sz w:val="28"/>
                <w:szCs w:val="28"/>
                <w:lang w:eastAsia="zh-CN"/>
              </w:rPr>
              <w:t>投标人资质评价</w:t>
            </w:r>
          </w:p>
        </w:tc>
        <w:tc>
          <w:tcPr>
            <w:tcW w:w="5540" w:type="dxa"/>
            <w:noWrap w:val="0"/>
            <w:vAlign w:val="center"/>
          </w:tcPr>
          <w:p w14:paraId="634024A7">
            <w:pPr>
              <w:keepNext w:val="0"/>
              <w:keepLines w:val="0"/>
              <w:pageBreakBefore w:val="0"/>
              <w:widowControl/>
              <w:kinsoku/>
              <w:wordWrap/>
              <w:overflowPunct/>
              <w:topLinePunct w:val="0"/>
              <w:autoSpaceDE/>
              <w:autoSpaceDN/>
              <w:bidi w:val="0"/>
              <w:adjustRightInd/>
              <w:snapToGrid w:val="0"/>
              <w:spacing w:line="560" w:lineRule="exact"/>
              <w:textAlignment w:val="auto"/>
              <w:rPr>
                <w:rFonts w:hint="eastAsia" w:eastAsia="宋体" w:cs="Times New Roman"/>
                <w:color w:val="000000"/>
                <w:kern w:val="0"/>
                <w:sz w:val="28"/>
                <w:szCs w:val="28"/>
                <w:lang w:val="en-US" w:eastAsia="zh-CN"/>
              </w:rPr>
            </w:pPr>
            <w:r>
              <w:rPr>
                <w:rFonts w:hint="eastAsia" w:eastAsia="宋体" w:cs="Times New Roman"/>
                <w:color w:val="000000"/>
                <w:kern w:val="0"/>
                <w:sz w:val="28"/>
                <w:szCs w:val="28"/>
                <w:lang w:val="en-US" w:eastAsia="zh-CN"/>
              </w:rPr>
              <w:t>1.具备消防设施工程专业承包二级及以上资质，得2分；</w:t>
            </w:r>
          </w:p>
          <w:p w14:paraId="3BBA2606">
            <w:pPr>
              <w:keepNext w:val="0"/>
              <w:keepLines w:val="0"/>
              <w:pageBreakBefore w:val="0"/>
              <w:widowControl/>
              <w:kinsoku/>
              <w:wordWrap/>
              <w:overflowPunct/>
              <w:topLinePunct w:val="0"/>
              <w:autoSpaceDE/>
              <w:autoSpaceDN/>
              <w:bidi w:val="0"/>
              <w:adjustRightInd/>
              <w:snapToGrid w:val="0"/>
              <w:spacing w:line="560" w:lineRule="exact"/>
              <w:textAlignment w:val="auto"/>
              <w:rPr>
                <w:rFonts w:hint="eastAsia" w:eastAsia="宋体" w:cs="Times New Roman"/>
                <w:color w:val="000000"/>
                <w:kern w:val="0"/>
                <w:sz w:val="28"/>
                <w:szCs w:val="28"/>
                <w:lang w:val="en-US" w:eastAsia="zh-CN"/>
              </w:rPr>
            </w:pPr>
            <w:r>
              <w:rPr>
                <w:rFonts w:hint="eastAsia" w:eastAsia="宋体" w:cs="Times New Roman"/>
                <w:color w:val="000000"/>
                <w:kern w:val="0"/>
                <w:sz w:val="28"/>
                <w:szCs w:val="28"/>
                <w:lang w:val="en-US" w:eastAsia="zh-CN"/>
              </w:rPr>
              <w:t>2.具备消防维保技术能力并提供《社会消防技术服务信息系统平台》录入信息截屏得2分；</w:t>
            </w:r>
          </w:p>
          <w:p w14:paraId="281C1B53">
            <w:pPr>
              <w:keepNext w:val="0"/>
              <w:keepLines w:val="0"/>
              <w:pageBreakBefore w:val="0"/>
              <w:widowControl/>
              <w:kinsoku/>
              <w:wordWrap/>
              <w:overflowPunct/>
              <w:topLinePunct w:val="0"/>
              <w:autoSpaceDE/>
              <w:autoSpaceDN/>
              <w:bidi w:val="0"/>
              <w:adjustRightInd/>
              <w:snapToGrid w:val="0"/>
              <w:spacing w:line="560" w:lineRule="exact"/>
              <w:textAlignment w:val="auto"/>
              <w:rPr>
                <w:rFonts w:hint="default" w:eastAsia="宋体" w:cs="Times New Roman"/>
                <w:color w:val="000000"/>
                <w:kern w:val="0"/>
                <w:sz w:val="28"/>
                <w:szCs w:val="28"/>
                <w:lang w:val="en-US" w:eastAsia="zh-CN"/>
              </w:rPr>
            </w:pPr>
            <w:r>
              <w:rPr>
                <w:rFonts w:hint="eastAsia" w:eastAsia="宋体" w:cs="Times New Roman"/>
                <w:color w:val="000000"/>
                <w:kern w:val="0"/>
                <w:sz w:val="28"/>
                <w:szCs w:val="28"/>
                <w:lang w:val="en-US" w:eastAsia="zh-CN"/>
              </w:rPr>
              <w:t>3.提供建筑智能化工程专业承包二级及以上资质的，得2分；</w:t>
            </w:r>
          </w:p>
          <w:p w14:paraId="3E44C6E7">
            <w:pPr>
              <w:keepNext w:val="0"/>
              <w:keepLines w:val="0"/>
              <w:pageBreakBefore w:val="0"/>
              <w:widowControl/>
              <w:kinsoku/>
              <w:wordWrap/>
              <w:overflowPunct/>
              <w:topLinePunct w:val="0"/>
              <w:autoSpaceDE/>
              <w:autoSpaceDN/>
              <w:bidi w:val="0"/>
              <w:adjustRightInd/>
              <w:snapToGrid w:val="0"/>
              <w:spacing w:line="560" w:lineRule="exact"/>
              <w:textAlignment w:val="auto"/>
              <w:rPr>
                <w:rFonts w:hint="eastAsia" w:eastAsia="宋体" w:cs="Times New Roman"/>
                <w:color w:val="000000"/>
                <w:kern w:val="0"/>
                <w:sz w:val="28"/>
                <w:szCs w:val="28"/>
                <w:lang w:val="en-US" w:eastAsia="zh-CN"/>
              </w:rPr>
            </w:pPr>
            <w:r>
              <w:rPr>
                <w:rFonts w:hint="eastAsia" w:eastAsia="宋体" w:cs="Times New Roman"/>
                <w:color w:val="000000"/>
                <w:kern w:val="0"/>
                <w:sz w:val="28"/>
                <w:szCs w:val="28"/>
                <w:lang w:val="en-US" w:eastAsia="zh-CN"/>
              </w:rPr>
              <w:t>4.提供《天津市消防技术服务管理系统》审核通过的具备消防维保资质信息截屏，得2分。</w:t>
            </w:r>
          </w:p>
          <w:p w14:paraId="16A1466D">
            <w:pPr>
              <w:keepNext w:val="0"/>
              <w:keepLines w:val="0"/>
              <w:pageBreakBefore w:val="0"/>
              <w:widowControl/>
              <w:kinsoku/>
              <w:wordWrap/>
              <w:overflowPunct/>
              <w:topLinePunct w:val="0"/>
              <w:autoSpaceDE/>
              <w:autoSpaceDN/>
              <w:bidi w:val="0"/>
              <w:adjustRightInd/>
              <w:snapToGrid w:val="0"/>
              <w:spacing w:line="560" w:lineRule="exact"/>
              <w:textAlignment w:val="auto"/>
              <w:rPr>
                <w:rFonts w:hint="eastAsia"/>
                <w:bCs/>
                <w:color w:val="000000"/>
                <w:sz w:val="28"/>
                <w:szCs w:val="24"/>
              </w:rPr>
            </w:pPr>
            <w:r>
              <w:rPr>
                <w:rFonts w:hint="eastAsia" w:eastAsia="宋体" w:cs="Times New Roman"/>
                <w:color w:val="000000"/>
                <w:kern w:val="0"/>
                <w:sz w:val="28"/>
                <w:szCs w:val="28"/>
                <w:lang w:val="en-US" w:eastAsia="zh-CN"/>
              </w:rPr>
              <w:t>以上最高得8分。</w:t>
            </w:r>
          </w:p>
        </w:tc>
        <w:tc>
          <w:tcPr>
            <w:tcW w:w="835" w:type="dxa"/>
            <w:noWrap w:val="0"/>
            <w:vAlign w:val="center"/>
          </w:tcPr>
          <w:p w14:paraId="428F8DE3">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default"/>
                <w:color w:val="000000"/>
                <w:kern w:val="0"/>
                <w:sz w:val="28"/>
                <w:szCs w:val="28"/>
                <w:lang w:val="en-US" w:eastAsia="zh-CN"/>
              </w:rPr>
            </w:pPr>
            <w:r>
              <w:rPr>
                <w:rFonts w:hint="eastAsia"/>
                <w:color w:val="000000"/>
                <w:kern w:val="0"/>
                <w:sz w:val="28"/>
                <w:szCs w:val="28"/>
                <w:lang w:val="en-US" w:eastAsia="zh-CN"/>
              </w:rPr>
              <w:t>8分</w:t>
            </w:r>
          </w:p>
        </w:tc>
      </w:tr>
      <w:tr w14:paraId="4117F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451" w:type="dxa"/>
            <w:noWrap w:val="0"/>
            <w:vAlign w:val="center"/>
          </w:tcPr>
          <w:p w14:paraId="6D21EEAA">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default"/>
                <w:color w:val="000000"/>
                <w:kern w:val="0"/>
                <w:sz w:val="28"/>
                <w:szCs w:val="28"/>
                <w:lang w:val="en-US" w:eastAsia="zh-CN"/>
              </w:rPr>
            </w:pPr>
            <w:r>
              <w:rPr>
                <w:rFonts w:hint="eastAsia"/>
                <w:color w:val="000000"/>
                <w:kern w:val="0"/>
                <w:sz w:val="28"/>
                <w:szCs w:val="28"/>
                <w:lang w:val="en-US" w:eastAsia="zh-CN"/>
              </w:rPr>
              <w:t>4</w:t>
            </w:r>
          </w:p>
        </w:tc>
        <w:tc>
          <w:tcPr>
            <w:tcW w:w="1696" w:type="dxa"/>
            <w:noWrap w:val="0"/>
            <w:vAlign w:val="center"/>
          </w:tcPr>
          <w:p w14:paraId="73E80FDD">
            <w:pPr>
              <w:keepNext w:val="0"/>
              <w:keepLines w:val="0"/>
              <w:pageBreakBefore w:val="0"/>
              <w:kinsoku/>
              <w:wordWrap/>
              <w:overflowPunct/>
              <w:topLinePunct w:val="0"/>
              <w:autoSpaceDE/>
              <w:autoSpaceDN/>
              <w:bidi w:val="0"/>
              <w:adjustRightInd/>
              <w:snapToGrid w:val="0"/>
              <w:spacing w:line="560" w:lineRule="exact"/>
              <w:textAlignment w:val="auto"/>
              <w:rPr>
                <w:rFonts w:hint="eastAsia"/>
                <w:bCs/>
                <w:color w:val="000000"/>
                <w:sz w:val="28"/>
                <w:szCs w:val="24"/>
                <w:lang w:val="en-US" w:eastAsia="zh-CN"/>
              </w:rPr>
            </w:pPr>
            <w:r>
              <w:rPr>
                <w:rFonts w:hint="eastAsia" w:eastAsia="宋体" w:cs="Times New Roman"/>
                <w:color w:val="000000"/>
                <w:kern w:val="0"/>
                <w:sz w:val="28"/>
                <w:szCs w:val="28"/>
                <w:lang w:val="en-US" w:eastAsia="zh-CN"/>
              </w:rPr>
              <w:t>专属团队配置评价</w:t>
            </w:r>
          </w:p>
        </w:tc>
        <w:tc>
          <w:tcPr>
            <w:tcW w:w="5540" w:type="dxa"/>
            <w:noWrap w:val="0"/>
            <w:vAlign w:val="center"/>
          </w:tcPr>
          <w:p w14:paraId="6C17E0C6">
            <w:pPr>
              <w:keepNext w:val="0"/>
              <w:keepLines w:val="0"/>
              <w:pageBreakBefore w:val="0"/>
              <w:kinsoku/>
              <w:wordWrap/>
              <w:overflowPunct/>
              <w:topLinePunct w:val="0"/>
              <w:autoSpaceDE/>
              <w:autoSpaceDN/>
              <w:bidi w:val="0"/>
              <w:adjustRightInd/>
              <w:snapToGrid w:val="0"/>
              <w:spacing w:line="560" w:lineRule="exact"/>
              <w:textAlignment w:val="auto"/>
              <w:rPr>
                <w:rFonts w:hint="eastAsia" w:eastAsia="宋体" w:cs="Times New Roman"/>
                <w:color w:val="000000"/>
                <w:kern w:val="0"/>
                <w:sz w:val="28"/>
                <w:szCs w:val="28"/>
                <w:lang w:val="en-US" w:eastAsia="zh-CN"/>
              </w:rPr>
            </w:pPr>
            <w:r>
              <w:rPr>
                <w:rFonts w:hint="eastAsia" w:eastAsia="宋体" w:cs="Times New Roman"/>
                <w:color w:val="000000"/>
                <w:kern w:val="0"/>
                <w:sz w:val="28"/>
                <w:szCs w:val="28"/>
                <w:lang w:val="en-US" w:eastAsia="zh-CN"/>
              </w:rPr>
              <w:t>投标人需提供专属服务团队的人员配置情况：</w:t>
            </w:r>
          </w:p>
          <w:p w14:paraId="020694DE">
            <w:pPr>
              <w:keepNext w:val="0"/>
              <w:keepLines w:val="0"/>
              <w:pageBreakBefore w:val="0"/>
              <w:kinsoku/>
              <w:wordWrap/>
              <w:overflowPunct/>
              <w:topLinePunct w:val="0"/>
              <w:autoSpaceDE/>
              <w:autoSpaceDN/>
              <w:bidi w:val="0"/>
              <w:adjustRightInd/>
              <w:snapToGrid w:val="0"/>
              <w:spacing w:line="560" w:lineRule="exact"/>
              <w:textAlignment w:val="auto"/>
              <w:rPr>
                <w:rFonts w:hint="eastAsia" w:eastAsia="宋体" w:cs="Times New Roman"/>
                <w:color w:val="000000"/>
                <w:kern w:val="0"/>
                <w:sz w:val="28"/>
                <w:szCs w:val="28"/>
                <w:lang w:val="en-US" w:eastAsia="zh-CN"/>
              </w:rPr>
            </w:pPr>
            <w:r>
              <w:rPr>
                <w:rFonts w:hint="eastAsia" w:eastAsia="宋体" w:cs="Times New Roman"/>
                <w:color w:val="000000"/>
                <w:kern w:val="0"/>
                <w:sz w:val="28"/>
                <w:szCs w:val="28"/>
                <w:lang w:val="en-US" w:eastAsia="zh-CN"/>
              </w:rPr>
              <w:t>人员配置专业性强，得6分；</w:t>
            </w:r>
          </w:p>
          <w:p w14:paraId="1EF52BC3">
            <w:pPr>
              <w:keepNext w:val="0"/>
              <w:keepLines w:val="0"/>
              <w:pageBreakBefore w:val="0"/>
              <w:kinsoku/>
              <w:wordWrap/>
              <w:overflowPunct/>
              <w:topLinePunct w:val="0"/>
              <w:autoSpaceDE/>
              <w:autoSpaceDN/>
              <w:bidi w:val="0"/>
              <w:adjustRightInd/>
              <w:snapToGrid w:val="0"/>
              <w:spacing w:line="560" w:lineRule="exact"/>
              <w:textAlignment w:val="auto"/>
              <w:rPr>
                <w:rFonts w:hint="default" w:eastAsia="宋体" w:cs="Times New Roman"/>
                <w:color w:val="000000"/>
                <w:kern w:val="0"/>
                <w:sz w:val="28"/>
                <w:szCs w:val="28"/>
                <w:lang w:val="en-US" w:eastAsia="zh-CN"/>
              </w:rPr>
            </w:pPr>
            <w:r>
              <w:rPr>
                <w:rFonts w:hint="eastAsia" w:eastAsia="宋体" w:cs="Times New Roman"/>
                <w:color w:val="000000"/>
                <w:kern w:val="0"/>
                <w:sz w:val="28"/>
                <w:szCs w:val="28"/>
                <w:lang w:val="en-US" w:eastAsia="zh-CN"/>
              </w:rPr>
              <w:t>人员配置专业性较强，得4分；</w:t>
            </w:r>
          </w:p>
          <w:p w14:paraId="7E365F47">
            <w:pPr>
              <w:keepNext w:val="0"/>
              <w:keepLines w:val="0"/>
              <w:pageBreakBefore w:val="0"/>
              <w:kinsoku/>
              <w:wordWrap/>
              <w:overflowPunct/>
              <w:topLinePunct w:val="0"/>
              <w:autoSpaceDE/>
              <w:autoSpaceDN/>
              <w:bidi w:val="0"/>
              <w:adjustRightInd/>
              <w:snapToGrid w:val="0"/>
              <w:spacing w:line="560" w:lineRule="exact"/>
              <w:textAlignment w:val="auto"/>
              <w:rPr>
                <w:rFonts w:hint="eastAsia" w:eastAsia="宋体" w:cs="Times New Roman"/>
                <w:color w:val="000000"/>
                <w:kern w:val="0"/>
                <w:sz w:val="28"/>
                <w:szCs w:val="28"/>
                <w:lang w:val="en-US" w:eastAsia="zh-CN"/>
              </w:rPr>
            </w:pPr>
            <w:r>
              <w:rPr>
                <w:rFonts w:hint="eastAsia" w:eastAsia="宋体" w:cs="Times New Roman"/>
                <w:color w:val="000000"/>
                <w:kern w:val="0"/>
                <w:sz w:val="28"/>
                <w:szCs w:val="28"/>
                <w:lang w:val="en-US" w:eastAsia="zh-CN"/>
              </w:rPr>
              <w:t>人员配置专业性一般，得2分。</w:t>
            </w:r>
          </w:p>
          <w:p w14:paraId="4A88074C">
            <w:pPr>
              <w:keepNext w:val="0"/>
              <w:keepLines w:val="0"/>
              <w:pageBreakBefore w:val="0"/>
              <w:kinsoku/>
              <w:wordWrap/>
              <w:overflowPunct/>
              <w:topLinePunct w:val="0"/>
              <w:autoSpaceDE/>
              <w:autoSpaceDN/>
              <w:bidi w:val="0"/>
              <w:adjustRightInd/>
              <w:snapToGrid w:val="0"/>
              <w:spacing w:line="560" w:lineRule="exact"/>
              <w:textAlignment w:val="auto"/>
              <w:rPr>
                <w:rFonts w:hint="eastAsia"/>
                <w:bCs/>
                <w:color w:val="000000"/>
                <w:sz w:val="28"/>
                <w:szCs w:val="24"/>
                <w:lang w:val="en-US" w:eastAsia="zh-CN"/>
              </w:rPr>
            </w:pPr>
            <w:r>
              <w:rPr>
                <w:rFonts w:hint="eastAsia" w:eastAsia="宋体" w:cs="Times New Roman"/>
                <w:color w:val="000000"/>
                <w:kern w:val="0"/>
                <w:sz w:val="28"/>
                <w:szCs w:val="28"/>
                <w:lang w:val="en-US" w:eastAsia="zh-CN"/>
              </w:rPr>
              <w:t>无人员配置情况，得0分。</w:t>
            </w:r>
          </w:p>
        </w:tc>
        <w:tc>
          <w:tcPr>
            <w:tcW w:w="835" w:type="dxa"/>
            <w:noWrap w:val="0"/>
            <w:vAlign w:val="center"/>
          </w:tcPr>
          <w:p w14:paraId="42199E94">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bCs/>
                <w:color w:val="000000"/>
                <w:sz w:val="28"/>
                <w:szCs w:val="24"/>
                <w:lang w:val="en-US" w:eastAsia="zh-CN"/>
              </w:rPr>
            </w:pPr>
            <w:r>
              <w:rPr>
                <w:rFonts w:hint="eastAsia"/>
                <w:color w:val="000000"/>
                <w:kern w:val="0"/>
                <w:sz w:val="28"/>
                <w:szCs w:val="28"/>
                <w:lang w:val="en-US" w:eastAsia="zh-CN"/>
              </w:rPr>
              <w:t>6分</w:t>
            </w:r>
          </w:p>
        </w:tc>
      </w:tr>
      <w:tr w14:paraId="32367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451" w:type="dxa"/>
            <w:noWrap w:val="0"/>
            <w:vAlign w:val="center"/>
          </w:tcPr>
          <w:p w14:paraId="161ADE2D">
            <w:pPr>
              <w:keepNext w:val="0"/>
              <w:keepLines w:val="0"/>
              <w:pageBreakBefore w:val="0"/>
              <w:kinsoku/>
              <w:wordWrap/>
              <w:overflowPunct/>
              <w:topLinePunct w:val="0"/>
              <w:autoSpaceDE/>
              <w:autoSpaceDN/>
              <w:bidi w:val="0"/>
              <w:adjustRightInd/>
              <w:snapToGrid w:val="0"/>
              <w:spacing w:line="560" w:lineRule="exact"/>
              <w:jc w:val="center"/>
              <w:textAlignment w:val="auto"/>
              <w:rPr>
                <w:rFonts w:hint="default"/>
                <w:bCs/>
                <w:color w:val="000000"/>
                <w:sz w:val="28"/>
                <w:szCs w:val="24"/>
                <w:lang w:val="en-US" w:eastAsia="zh-CN"/>
              </w:rPr>
            </w:pPr>
            <w:r>
              <w:rPr>
                <w:rFonts w:hint="eastAsia"/>
                <w:bCs/>
                <w:color w:val="000000"/>
                <w:sz w:val="28"/>
                <w:szCs w:val="24"/>
                <w:lang w:val="en-US" w:eastAsia="zh-CN"/>
              </w:rPr>
              <w:t>5</w:t>
            </w:r>
          </w:p>
        </w:tc>
        <w:tc>
          <w:tcPr>
            <w:tcW w:w="1696" w:type="dxa"/>
            <w:noWrap w:val="0"/>
            <w:vAlign w:val="center"/>
          </w:tcPr>
          <w:p w14:paraId="21D8BB12">
            <w:pPr>
              <w:keepNext w:val="0"/>
              <w:keepLines w:val="0"/>
              <w:pageBreakBefore w:val="0"/>
              <w:kinsoku/>
              <w:wordWrap/>
              <w:overflowPunct/>
              <w:topLinePunct w:val="0"/>
              <w:autoSpaceDE/>
              <w:autoSpaceDN/>
              <w:bidi w:val="0"/>
              <w:adjustRightInd/>
              <w:snapToGrid w:val="0"/>
              <w:spacing w:line="560" w:lineRule="exact"/>
              <w:textAlignment w:val="auto"/>
              <w:rPr>
                <w:rFonts w:hint="eastAsia" w:eastAsia="宋体" w:cs="Times New Roman"/>
                <w:color w:val="000000"/>
                <w:kern w:val="0"/>
                <w:sz w:val="28"/>
                <w:szCs w:val="28"/>
                <w:lang w:val="en-US" w:eastAsia="zh-CN"/>
              </w:rPr>
            </w:pPr>
            <w:r>
              <w:rPr>
                <w:rFonts w:hint="eastAsia" w:eastAsia="宋体" w:cs="Times New Roman"/>
                <w:color w:val="000000"/>
                <w:kern w:val="0"/>
                <w:sz w:val="28"/>
                <w:szCs w:val="28"/>
                <w:lang w:val="en-US" w:eastAsia="zh-CN"/>
              </w:rPr>
              <w:t>维修、维保</w:t>
            </w:r>
          </w:p>
          <w:p w14:paraId="05CC00B1">
            <w:pPr>
              <w:keepNext w:val="0"/>
              <w:keepLines w:val="0"/>
              <w:pageBreakBefore w:val="0"/>
              <w:kinsoku/>
              <w:wordWrap/>
              <w:overflowPunct/>
              <w:topLinePunct w:val="0"/>
              <w:autoSpaceDE/>
              <w:autoSpaceDN/>
              <w:bidi w:val="0"/>
              <w:adjustRightInd/>
              <w:snapToGrid w:val="0"/>
              <w:spacing w:line="560" w:lineRule="exact"/>
              <w:textAlignment w:val="auto"/>
              <w:rPr>
                <w:rFonts w:hint="default" w:eastAsia="宋体" w:cs="Times New Roman"/>
                <w:color w:val="000000"/>
                <w:kern w:val="0"/>
                <w:sz w:val="28"/>
                <w:szCs w:val="28"/>
                <w:lang w:val="en-US" w:eastAsia="zh-CN"/>
              </w:rPr>
            </w:pPr>
            <w:r>
              <w:rPr>
                <w:rFonts w:hint="eastAsia" w:eastAsia="宋体" w:cs="Times New Roman"/>
                <w:color w:val="000000"/>
                <w:kern w:val="0"/>
                <w:sz w:val="28"/>
                <w:szCs w:val="28"/>
                <w:lang w:val="en-US" w:eastAsia="zh-CN"/>
              </w:rPr>
              <w:t>方案评价</w:t>
            </w:r>
          </w:p>
        </w:tc>
        <w:tc>
          <w:tcPr>
            <w:tcW w:w="5540" w:type="dxa"/>
            <w:noWrap w:val="0"/>
            <w:vAlign w:val="center"/>
          </w:tcPr>
          <w:p w14:paraId="5F1C7D5A">
            <w:pPr>
              <w:keepNext w:val="0"/>
              <w:keepLines w:val="0"/>
              <w:pageBreakBefore w:val="0"/>
              <w:kinsoku/>
              <w:wordWrap/>
              <w:overflowPunct/>
              <w:topLinePunct w:val="0"/>
              <w:autoSpaceDE/>
              <w:autoSpaceDN/>
              <w:bidi w:val="0"/>
              <w:adjustRightInd/>
              <w:snapToGrid w:val="0"/>
              <w:spacing w:line="560" w:lineRule="exact"/>
              <w:textAlignment w:val="auto"/>
              <w:rPr>
                <w:rFonts w:hint="eastAsia" w:eastAsia="宋体" w:cs="Times New Roman"/>
                <w:color w:val="000000"/>
                <w:kern w:val="0"/>
                <w:sz w:val="28"/>
                <w:szCs w:val="28"/>
                <w:lang w:val="en-US" w:eastAsia="zh-CN"/>
              </w:rPr>
            </w:pPr>
            <w:r>
              <w:rPr>
                <w:rFonts w:hint="eastAsia" w:eastAsia="宋体" w:cs="Times New Roman"/>
                <w:color w:val="000000"/>
                <w:kern w:val="0"/>
                <w:sz w:val="28"/>
                <w:szCs w:val="28"/>
                <w:lang w:val="en-US" w:eastAsia="zh-CN"/>
              </w:rPr>
              <w:t>1.维修、维保方案具体、完整，可行性强的：10分；</w:t>
            </w:r>
          </w:p>
          <w:p w14:paraId="6887E351">
            <w:pPr>
              <w:keepNext w:val="0"/>
              <w:keepLines w:val="0"/>
              <w:pageBreakBefore w:val="0"/>
              <w:kinsoku/>
              <w:wordWrap/>
              <w:overflowPunct/>
              <w:topLinePunct w:val="0"/>
              <w:autoSpaceDE/>
              <w:autoSpaceDN/>
              <w:bidi w:val="0"/>
              <w:adjustRightInd/>
              <w:snapToGrid w:val="0"/>
              <w:spacing w:line="560" w:lineRule="exact"/>
              <w:textAlignment w:val="auto"/>
              <w:rPr>
                <w:rFonts w:hint="eastAsia" w:eastAsia="宋体" w:cs="Times New Roman"/>
                <w:color w:val="000000"/>
                <w:kern w:val="0"/>
                <w:sz w:val="28"/>
                <w:szCs w:val="28"/>
                <w:lang w:val="en-US" w:eastAsia="zh-CN"/>
              </w:rPr>
            </w:pPr>
            <w:r>
              <w:rPr>
                <w:rFonts w:hint="eastAsia" w:eastAsia="宋体" w:cs="Times New Roman"/>
                <w:color w:val="000000"/>
                <w:kern w:val="0"/>
                <w:sz w:val="28"/>
                <w:szCs w:val="28"/>
                <w:lang w:val="en-US" w:eastAsia="zh-CN"/>
              </w:rPr>
              <w:t xml:space="preserve">2.维修、维保方案较具体、完整，可行性较好的：7分； </w:t>
            </w:r>
          </w:p>
          <w:p w14:paraId="2ACAB790">
            <w:pPr>
              <w:keepNext w:val="0"/>
              <w:keepLines w:val="0"/>
              <w:pageBreakBefore w:val="0"/>
              <w:kinsoku/>
              <w:wordWrap/>
              <w:overflowPunct/>
              <w:topLinePunct w:val="0"/>
              <w:autoSpaceDE/>
              <w:autoSpaceDN/>
              <w:bidi w:val="0"/>
              <w:adjustRightInd/>
              <w:snapToGrid w:val="0"/>
              <w:spacing w:line="560" w:lineRule="exact"/>
              <w:textAlignment w:val="auto"/>
              <w:rPr>
                <w:rFonts w:hint="eastAsia" w:eastAsia="宋体" w:cs="Times New Roman"/>
                <w:color w:val="000000"/>
                <w:kern w:val="0"/>
                <w:sz w:val="28"/>
                <w:szCs w:val="28"/>
                <w:lang w:val="en-US" w:eastAsia="zh-CN"/>
              </w:rPr>
            </w:pPr>
            <w:r>
              <w:rPr>
                <w:rFonts w:hint="eastAsia" w:eastAsia="宋体" w:cs="Times New Roman"/>
                <w:color w:val="000000"/>
                <w:kern w:val="0"/>
                <w:sz w:val="28"/>
                <w:szCs w:val="28"/>
                <w:lang w:val="en-US" w:eastAsia="zh-CN"/>
              </w:rPr>
              <w:t>3.维修、维保</w:t>
            </w:r>
            <w:r>
              <w:rPr>
                <w:rFonts w:hint="default" w:eastAsia="宋体" w:cs="Times New Roman"/>
                <w:color w:val="000000"/>
                <w:kern w:val="0"/>
                <w:sz w:val="28"/>
                <w:szCs w:val="28"/>
                <w:lang w:val="en-US" w:eastAsia="zh-CN"/>
              </w:rPr>
              <w:t>方</w:t>
            </w:r>
            <w:r>
              <w:rPr>
                <w:rFonts w:hint="eastAsia" w:eastAsia="宋体" w:cs="Times New Roman"/>
                <w:color w:val="000000"/>
                <w:kern w:val="0"/>
                <w:sz w:val="28"/>
                <w:szCs w:val="28"/>
                <w:lang w:val="en-US" w:eastAsia="zh-CN"/>
              </w:rPr>
              <w:t>案简单，可行性一般的：</w:t>
            </w:r>
            <w:r>
              <w:rPr>
                <w:rFonts w:hint="default" w:eastAsia="宋体" w:cs="Times New Roman"/>
                <w:color w:val="000000"/>
                <w:kern w:val="0"/>
                <w:sz w:val="28"/>
                <w:szCs w:val="28"/>
                <w:lang w:val="en-US" w:eastAsia="zh-CN"/>
              </w:rPr>
              <w:t>4</w:t>
            </w:r>
            <w:r>
              <w:rPr>
                <w:rFonts w:hint="eastAsia" w:eastAsia="宋体" w:cs="Times New Roman"/>
                <w:color w:val="000000"/>
                <w:kern w:val="0"/>
                <w:sz w:val="28"/>
                <w:szCs w:val="28"/>
                <w:lang w:val="en-US" w:eastAsia="zh-CN"/>
              </w:rPr>
              <w:t xml:space="preserve">分； </w:t>
            </w:r>
          </w:p>
          <w:p w14:paraId="4F93A861">
            <w:pPr>
              <w:keepNext w:val="0"/>
              <w:keepLines w:val="0"/>
              <w:pageBreakBefore w:val="0"/>
              <w:kinsoku/>
              <w:wordWrap/>
              <w:overflowPunct/>
              <w:topLinePunct w:val="0"/>
              <w:autoSpaceDE/>
              <w:autoSpaceDN/>
              <w:bidi w:val="0"/>
              <w:adjustRightInd/>
              <w:snapToGrid w:val="0"/>
              <w:spacing w:line="560" w:lineRule="exact"/>
              <w:textAlignment w:val="auto"/>
              <w:rPr>
                <w:rFonts w:hint="eastAsia" w:eastAsia="宋体" w:cs="Times New Roman"/>
                <w:color w:val="000000"/>
                <w:kern w:val="0"/>
                <w:sz w:val="28"/>
                <w:szCs w:val="28"/>
                <w:lang w:val="zh-CN" w:eastAsia="zh-CN"/>
              </w:rPr>
            </w:pPr>
            <w:r>
              <w:rPr>
                <w:rFonts w:hint="eastAsia" w:eastAsia="宋体" w:cs="Times New Roman"/>
                <w:color w:val="000000"/>
                <w:kern w:val="0"/>
                <w:sz w:val="28"/>
                <w:szCs w:val="28"/>
                <w:lang w:val="en-US" w:eastAsia="zh-CN"/>
              </w:rPr>
              <w:t>4.未提供方案的，0分</w:t>
            </w:r>
          </w:p>
        </w:tc>
        <w:tc>
          <w:tcPr>
            <w:tcW w:w="835" w:type="dxa"/>
            <w:noWrap w:val="0"/>
            <w:vAlign w:val="center"/>
          </w:tcPr>
          <w:p w14:paraId="70D891A8">
            <w:pPr>
              <w:keepNext w:val="0"/>
              <w:keepLines w:val="0"/>
              <w:pageBreakBefore w:val="0"/>
              <w:kinsoku/>
              <w:wordWrap/>
              <w:overflowPunct/>
              <w:topLinePunct w:val="0"/>
              <w:autoSpaceDE/>
              <w:autoSpaceDN/>
              <w:bidi w:val="0"/>
              <w:adjustRightInd/>
              <w:snapToGrid w:val="0"/>
              <w:spacing w:line="560" w:lineRule="exact"/>
              <w:textAlignment w:val="auto"/>
              <w:rPr>
                <w:rFonts w:hint="default"/>
                <w:bCs/>
                <w:color w:val="000000"/>
                <w:sz w:val="28"/>
                <w:szCs w:val="24"/>
                <w:lang w:val="en-US" w:eastAsia="zh-CN"/>
              </w:rPr>
            </w:pPr>
            <w:r>
              <w:rPr>
                <w:rFonts w:hint="eastAsia"/>
                <w:bCs/>
                <w:color w:val="000000"/>
                <w:sz w:val="28"/>
                <w:szCs w:val="24"/>
                <w:lang w:val="en-US" w:eastAsia="zh-CN"/>
              </w:rPr>
              <w:t>10</w:t>
            </w:r>
            <w:r>
              <w:rPr>
                <w:rFonts w:hint="eastAsia"/>
                <w:color w:val="000000"/>
                <w:kern w:val="0"/>
                <w:sz w:val="28"/>
                <w:szCs w:val="28"/>
                <w:lang w:val="en-US" w:eastAsia="zh-CN"/>
              </w:rPr>
              <w:t>分</w:t>
            </w:r>
          </w:p>
        </w:tc>
      </w:tr>
      <w:tr w14:paraId="7E4AB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451" w:type="dxa"/>
            <w:noWrap w:val="0"/>
            <w:vAlign w:val="center"/>
          </w:tcPr>
          <w:p w14:paraId="16D7D3B4">
            <w:pPr>
              <w:keepNext w:val="0"/>
              <w:keepLines w:val="0"/>
              <w:pageBreakBefore w:val="0"/>
              <w:kinsoku/>
              <w:wordWrap/>
              <w:overflowPunct/>
              <w:topLinePunct w:val="0"/>
              <w:autoSpaceDE/>
              <w:autoSpaceDN/>
              <w:bidi w:val="0"/>
              <w:adjustRightInd/>
              <w:snapToGrid w:val="0"/>
              <w:spacing w:line="560" w:lineRule="exact"/>
              <w:jc w:val="center"/>
              <w:textAlignment w:val="auto"/>
              <w:rPr>
                <w:rFonts w:hint="default"/>
                <w:bCs/>
                <w:color w:val="000000"/>
                <w:sz w:val="28"/>
                <w:szCs w:val="24"/>
                <w:lang w:val="en-US" w:eastAsia="zh-CN"/>
              </w:rPr>
            </w:pPr>
            <w:r>
              <w:rPr>
                <w:rFonts w:hint="eastAsia"/>
                <w:bCs/>
                <w:color w:val="000000"/>
                <w:sz w:val="28"/>
                <w:szCs w:val="24"/>
                <w:lang w:val="en-US" w:eastAsia="zh-CN"/>
              </w:rPr>
              <w:t>6</w:t>
            </w:r>
          </w:p>
        </w:tc>
        <w:tc>
          <w:tcPr>
            <w:tcW w:w="1696" w:type="dxa"/>
            <w:noWrap w:val="0"/>
            <w:vAlign w:val="center"/>
          </w:tcPr>
          <w:p w14:paraId="51893088">
            <w:pPr>
              <w:keepNext w:val="0"/>
              <w:keepLines w:val="0"/>
              <w:pageBreakBefore w:val="0"/>
              <w:kinsoku/>
              <w:wordWrap/>
              <w:overflowPunct/>
              <w:topLinePunct w:val="0"/>
              <w:autoSpaceDE/>
              <w:autoSpaceDN/>
              <w:bidi w:val="0"/>
              <w:adjustRightInd/>
              <w:snapToGrid w:val="0"/>
              <w:spacing w:line="560" w:lineRule="exact"/>
              <w:textAlignment w:val="auto"/>
              <w:rPr>
                <w:rFonts w:hint="eastAsia"/>
                <w:bCs/>
                <w:color w:val="000000"/>
                <w:sz w:val="28"/>
                <w:szCs w:val="24"/>
                <w:lang w:val="zh-CN" w:eastAsia="zh-CN"/>
              </w:rPr>
            </w:pPr>
            <w:r>
              <w:rPr>
                <w:rFonts w:hint="default"/>
                <w:bCs/>
                <w:color w:val="000000"/>
                <w:sz w:val="28"/>
                <w:szCs w:val="24"/>
                <w:lang w:eastAsia="zh-CN"/>
              </w:rPr>
              <w:t>应急维修服务标准</w:t>
            </w:r>
            <w:r>
              <w:rPr>
                <w:rFonts w:hint="eastAsia"/>
                <w:bCs/>
                <w:color w:val="000000"/>
                <w:sz w:val="28"/>
                <w:szCs w:val="24"/>
                <w:lang w:val="en-US" w:eastAsia="zh-CN"/>
              </w:rPr>
              <w:t>评价</w:t>
            </w:r>
          </w:p>
        </w:tc>
        <w:tc>
          <w:tcPr>
            <w:tcW w:w="5540" w:type="dxa"/>
            <w:noWrap w:val="0"/>
            <w:vAlign w:val="center"/>
          </w:tcPr>
          <w:p w14:paraId="3BCBC637">
            <w:pPr>
              <w:keepNext w:val="0"/>
              <w:keepLines w:val="0"/>
              <w:pageBreakBefore w:val="0"/>
              <w:kinsoku/>
              <w:wordWrap/>
              <w:overflowPunct/>
              <w:topLinePunct w:val="0"/>
              <w:autoSpaceDE/>
              <w:autoSpaceDN/>
              <w:bidi w:val="0"/>
              <w:adjustRightInd/>
              <w:snapToGrid w:val="0"/>
              <w:spacing w:line="560" w:lineRule="exact"/>
              <w:textAlignment w:val="auto"/>
              <w:rPr>
                <w:rFonts w:hint="eastAsia"/>
                <w:bCs/>
                <w:color w:val="000000"/>
                <w:sz w:val="28"/>
                <w:szCs w:val="24"/>
                <w:lang w:val="en-US" w:eastAsia="zh-CN"/>
              </w:rPr>
            </w:pPr>
            <w:r>
              <w:rPr>
                <w:rFonts w:hint="eastAsia"/>
                <w:bCs/>
                <w:color w:val="000000"/>
                <w:sz w:val="28"/>
                <w:szCs w:val="24"/>
                <w:lang w:val="en-US" w:eastAsia="zh-CN"/>
              </w:rPr>
              <w:t>1.</w:t>
            </w:r>
            <w:r>
              <w:rPr>
                <w:rFonts w:hint="default"/>
                <w:bCs/>
                <w:color w:val="000000"/>
                <w:sz w:val="28"/>
                <w:szCs w:val="24"/>
                <w:lang w:eastAsia="zh-CN"/>
              </w:rPr>
              <w:t>应急维修服务标准全面、规范、</w:t>
            </w:r>
            <w:r>
              <w:rPr>
                <w:rFonts w:hint="eastAsia"/>
                <w:bCs/>
                <w:color w:val="000000"/>
                <w:sz w:val="28"/>
                <w:szCs w:val="24"/>
                <w:lang w:val="en-US" w:eastAsia="zh-CN"/>
              </w:rPr>
              <w:t xml:space="preserve">合理，10 </w:t>
            </w:r>
            <w:r>
              <w:rPr>
                <w:rFonts w:hint="default"/>
                <w:bCs/>
                <w:color w:val="000000"/>
                <w:sz w:val="28"/>
                <w:szCs w:val="24"/>
                <w:lang w:val="en-US" w:eastAsia="zh-CN"/>
              </w:rPr>
              <w:t xml:space="preserve">分； </w:t>
            </w:r>
          </w:p>
          <w:p w14:paraId="2D09282A">
            <w:pPr>
              <w:keepNext w:val="0"/>
              <w:keepLines w:val="0"/>
              <w:pageBreakBefore w:val="0"/>
              <w:kinsoku/>
              <w:wordWrap/>
              <w:overflowPunct/>
              <w:topLinePunct w:val="0"/>
              <w:autoSpaceDE/>
              <w:autoSpaceDN/>
              <w:bidi w:val="0"/>
              <w:adjustRightInd/>
              <w:snapToGrid w:val="0"/>
              <w:spacing w:line="560" w:lineRule="exact"/>
              <w:textAlignment w:val="auto"/>
              <w:rPr>
                <w:rFonts w:hint="default"/>
                <w:bCs/>
                <w:color w:val="000000"/>
                <w:sz w:val="28"/>
                <w:szCs w:val="24"/>
                <w:lang w:val="en-US" w:eastAsia="zh-CN"/>
              </w:rPr>
            </w:pPr>
            <w:r>
              <w:rPr>
                <w:rFonts w:hint="eastAsia"/>
                <w:bCs/>
                <w:color w:val="000000"/>
                <w:sz w:val="28"/>
                <w:szCs w:val="24"/>
                <w:lang w:val="en-US" w:eastAsia="zh-CN"/>
              </w:rPr>
              <w:t>2.</w:t>
            </w:r>
            <w:r>
              <w:rPr>
                <w:rFonts w:hint="default"/>
                <w:bCs/>
                <w:color w:val="000000"/>
                <w:sz w:val="28"/>
                <w:szCs w:val="24"/>
                <w:lang w:eastAsia="zh-CN"/>
              </w:rPr>
              <w:t>应急维修服务标准</w:t>
            </w:r>
            <w:r>
              <w:rPr>
                <w:rFonts w:hint="default"/>
                <w:bCs/>
                <w:color w:val="000000"/>
                <w:sz w:val="28"/>
                <w:szCs w:val="24"/>
                <w:lang w:val="en-US" w:eastAsia="zh-CN"/>
              </w:rPr>
              <w:t>较</w:t>
            </w:r>
            <w:r>
              <w:rPr>
                <w:rFonts w:hint="default"/>
                <w:bCs/>
                <w:color w:val="000000"/>
                <w:sz w:val="28"/>
                <w:szCs w:val="24"/>
                <w:lang w:eastAsia="zh-CN"/>
              </w:rPr>
              <w:t>全面、规范、</w:t>
            </w:r>
            <w:r>
              <w:rPr>
                <w:rFonts w:hint="default"/>
                <w:bCs/>
                <w:color w:val="000000"/>
                <w:sz w:val="28"/>
                <w:szCs w:val="24"/>
                <w:lang w:val="en-US" w:eastAsia="zh-CN"/>
              </w:rPr>
              <w:t>合理，</w:t>
            </w:r>
            <w:r>
              <w:rPr>
                <w:rFonts w:hint="eastAsia"/>
                <w:bCs/>
                <w:color w:val="000000"/>
                <w:sz w:val="28"/>
                <w:szCs w:val="24"/>
                <w:lang w:val="en-US" w:eastAsia="zh-CN"/>
              </w:rPr>
              <w:t>7</w:t>
            </w:r>
            <w:r>
              <w:rPr>
                <w:rFonts w:hint="default"/>
                <w:bCs/>
                <w:color w:val="000000"/>
                <w:sz w:val="28"/>
                <w:szCs w:val="24"/>
                <w:lang w:val="en-US" w:eastAsia="zh-CN"/>
              </w:rPr>
              <w:t xml:space="preserve">分； </w:t>
            </w:r>
          </w:p>
          <w:p w14:paraId="5B72BE1E">
            <w:pPr>
              <w:keepNext w:val="0"/>
              <w:keepLines w:val="0"/>
              <w:pageBreakBefore w:val="0"/>
              <w:kinsoku/>
              <w:wordWrap/>
              <w:overflowPunct/>
              <w:topLinePunct w:val="0"/>
              <w:autoSpaceDE/>
              <w:autoSpaceDN/>
              <w:bidi w:val="0"/>
              <w:adjustRightInd/>
              <w:snapToGrid w:val="0"/>
              <w:spacing w:line="560" w:lineRule="exact"/>
              <w:textAlignment w:val="auto"/>
              <w:rPr>
                <w:rFonts w:hint="default"/>
                <w:bCs/>
                <w:color w:val="000000"/>
                <w:sz w:val="28"/>
                <w:szCs w:val="24"/>
                <w:lang w:val="en-US" w:eastAsia="zh-CN"/>
              </w:rPr>
            </w:pPr>
            <w:r>
              <w:rPr>
                <w:rFonts w:hint="eastAsia"/>
                <w:bCs/>
                <w:color w:val="000000"/>
                <w:sz w:val="28"/>
                <w:szCs w:val="24"/>
                <w:lang w:val="en-US" w:eastAsia="zh-CN"/>
              </w:rPr>
              <w:t>3.</w:t>
            </w:r>
            <w:r>
              <w:rPr>
                <w:rFonts w:hint="default"/>
                <w:bCs/>
                <w:color w:val="000000"/>
                <w:sz w:val="28"/>
                <w:szCs w:val="24"/>
                <w:lang w:eastAsia="zh-CN"/>
              </w:rPr>
              <w:t>应急维修服务标准</w:t>
            </w:r>
            <w:r>
              <w:rPr>
                <w:rFonts w:hint="eastAsia"/>
                <w:bCs/>
                <w:color w:val="000000"/>
                <w:sz w:val="28"/>
                <w:szCs w:val="24"/>
                <w:lang w:val="en-US" w:eastAsia="zh-CN"/>
              </w:rPr>
              <w:t>一般</w:t>
            </w:r>
            <w:r>
              <w:rPr>
                <w:rFonts w:hint="default"/>
                <w:bCs/>
                <w:color w:val="000000"/>
                <w:sz w:val="28"/>
                <w:szCs w:val="24"/>
                <w:lang w:val="en-US" w:eastAsia="zh-CN"/>
              </w:rPr>
              <w:t>的</w:t>
            </w:r>
            <w:r>
              <w:rPr>
                <w:rFonts w:hint="eastAsia"/>
                <w:bCs/>
                <w:color w:val="000000"/>
                <w:sz w:val="28"/>
                <w:szCs w:val="24"/>
                <w:lang w:val="en-US" w:eastAsia="zh-CN"/>
              </w:rPr>
              <w:t>，4</w:t>
            </w:r>
            <w:r>
              <w:rPr>
                <w:rFonts w:hint="default"/>
                <w:bCs/>
                <w:color w:val="000000"/>
                <w:sz w:val="28"/>
                <w:szCs w:val="24"/>
                <w:lang w:val="en-US" w:eastAsia="zh-CN"/>
              </w:rPr>
              <w:t>分；</w:t>
            </w:r>
          </w:p>
          <w:p w14:paraId="00FE8DC1">
            <w:pPr>
              <w:keepNext w:val="0"/>
              <w:keepLines w:val="0"/>
              <w:pageBreakBefore w:val="0"/>
              <w:kinsoku/>
              <w:wordWrap/>
              <w:overflowPunct/>
              <w:topLinePunct w:val="0"/>
              <w:autoSpaceDE/>
              <w:autoSpaceDN/>
              <w:bidi w:val="0"/>
              <w:adjustRightInd/>
              <w:snapToGrid w:val="0"/>
              <w:spacing w:line="560" w:lineRule="exact"/>
              <w:textAlignment w:val="auto"/>
              <w:rPr>
                <w:rFonts w:hint="default"/>
                <w:lang w:val="en-US" w:eastAsia="zh-CN"/>
              </w:rPr>
            </w:pPr>
            <w:r>
              <w:rPr>
                <w:rFonts w:hint="eastAsia"/>
                <w:bCs/>
                <w:color w:val="000000"/>
                <w:sz w:val="28"/>
                <w:szCs w:val="24"/>
                <w:lang w:val="en-US" w:eastAsia="zh-CN"/>
              </w:rPr>
              <w:t>未提供方案的，0分</w:t>
            </w:r>
          </w:p>
        </w:tc>
        <w:tc>
          <w:tcPr>
            <w:tcW w:w="835" w:type="dxa"/>
            <w:noWrap w:val="0"/>
            <w:vAlign w:val="center"/>
          </w:tcPr>
          <w:p w14:paraId="227A889D">
            <w:pPr>
              <w:keepNext w:val="0"/>
              <w:keepLines w:val="0"/>
              <w:pageBreakBefore w:val="0"/>
              <w:kinsoku/>
              <w:wordWrap/>
              <w:overflowPunct/>
              <w:topLinePunct w:val="0"/>
              <w:autoSpaceDE/>
              <w:autoSpaceDN/>
              <w:bidi w:val="0"/>
              <w:adjustRightInd/>
              <w:snapToGrid w:val="0"/>
              <w:spacing w:line="560" w:lineRule="exact"/>
              <w:textAlignment w:val="auto"/>
              <w:rPr>
                <w:rFonts w:hint="default"/>
                <w:bCs/>
                <w:color w:val="000000"/>
                <w:sz w:val="28"/>
                <w:szCs w:val="24"/>
                <w:lang w:val="en-US" w:eastAsia="zh-CN"/>
              </w:rPr>
            </w:pPr>
            <w:r>
              <w:rPr>
                <w:rFonts w:hint="eastAsia"/>
                <w:bCs/>
                <w:color w:val="000000"/>
                <w:sz w:val="28"/>
                <w:szCs w:val="24"/>
                <w:lang w:val="en-US" w:eastAsia="zh-CN"/>
              </w:rPr>
              <w:t>10</w:t>
            </w:r>
            <w:r>
              <w:rPr>
                <w:rFonts w:hint="eastAsia"/>
                <w:color w:val="000000"/>
                <w:kern w:val="0"/>
                <w:sz w:val="28"/>
                <w:szCs w:val="28"/>
                <w:lang w:val="en-US" w:eastAsia="zh-CN"/>
              </w:rPr>
              <w:t>分</w:t>
            </w:r>
          </w:p>
        </w:tc>
      </w:tr>
      <w:tr w14:paraId="5CB75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451" w:type="dxa"/>
            <w:noWrap w:val="0"/>
            <w:vAlign w:val="center"/>
          </w:tcPr>
          <w:p w14:paraId="2663D804">
            <w:pPr>
              <w:keepNext w:val="0"/>
              <w:keepLines w:val="0"/>
              <w:pageBreakBefore w:val="0"/>
              <w:kinsoku/>
              <w:wordWrap/>
              <w:overflowPunct/>
              <w:topLinePunct w:val="0"/>
              <w:autoSpaceDE/>
              <w:autoSpaceDN/>
              <w:bidi w:val="0"/>
              <w:adjustRightInd/>
              <w:snapToGrid w:val="0"/>
              <w:spacing w:line="560" w:lineRule="exact"/>
              <w:jc w:val="center"/>
              <w:textAlignment w:val="auto"/>
              <w:rPr>
                <w:rFonts w:hint="default"/>
                <w:bCs/>
                <w:color w:val="000000"/>
                <w:sz w:val="28"/>
                <w:szCs w:val="24"/>
                <w:lang w:val="en-US" w:eastAsia="zh-CN"/>
              </w:rPr>
            </w:pPr>
            <w:r>
              <w:rPr>
                <w:rFonts w:hint="eastAsia"/>
                <w:bCs/>
                <w:color w:val="000000"/>
                <w:sz w:val="28"/>
                <w:szCs w:val="24"/>
                <w:lang w:val="en-US" w:eastAsia="zh-CN"/>
              </w:rPr>
              <w:t>7</w:t>
            </w:r>
          </w:p>
        </w:tc>
        <w:tc>
          <w:tcPr>
            <w:tcW w:w="1696" w:type="dxa"/>
            <w:noWrap w:val="0"/>
            <w:vAlign w:val="center"/>
          </w:tcPr>
          <w:p w14:paraId="664569D8">
            <w:pPr>
              <w:keepNext w:val="0"/>
              <w:keepLines w:val="0"/>
              <w:pageBreakBefore w:val="0"/>
              <w:kinsoku/>
              <w:wordWrap/>
              <w:overflowPunct/>
              <w:topLinePunct w:val="0"/>
              <w:autoSpaceDE/>
              <w:autoSpaceDN/>
              <w:bidi w:val="0"/>
              <w:adjustRightInd/>
              <w:snapToGrid w:val="0"/>
              <w:spacing w:line="560" w:lineRule="exact"/>
              <w:textAlignment w:val="auto"/>
              <w:rPr>
                <w:rFonts w:hint="eastAsia"/>
                <w:bCs/>
                <w:color w:val="000000"/>
                <w:sz w:val="28"/>
                <w:szCs w:val="24"/>
                <w:lang w:val="en-US" w:eastAsia="zh-CN"/>
              </w:rPr>
            </w:pPr>
            <w:r>
              <w:rPr>
                <w:rFonts w:hint="default"/>
                <w:bCs/>
                <w:color w:val="000000"/>
                <w:sz w:val="28"/>
                <w:szCs w:val="24"/>
                <w:lang w:eastAsia="zh-CN"/>
              </w:rPr>
              <w:t>应</w:t>
            </w:r>
            <w:r>
              <w:rPr>
                <w:rFonts w:hint="eastAsia"/>
                <w:bCs/>
                <w:color w:val="000000"/>
                <w:sz w:val="28"/>
                <w:szCs w:val="24"/>
                <w:lang w:val="en-US" w:eastAsia="zh-CN"/>
              </w:rPr>
              <w:t>急</w:t>
            </w:r>
            <w:r>
              <w:rPr>
                <w:rFonts w:hint="default"/>
                <w:bCs/>
                <w:color w:val="000000"/>
                <w:sz w:val="28"/>
                <w:szCs w:val="24"/>
                <w:lang w:eastAsia="zh-CN"/>
              </w:rPr>
              <w:t>维修</w:t>
            </w:r>
            <w:r>
              <w:rPr>
                <w:rFonts w:hint="eastAsia"/>
                <w:bCs/>
                <w:color w:val="000000"/>
                <w:sz w:val="28"/>
                <w:szCs w:val="24"/>
                <w:lang w:val="en-US" w:eastAsia="zh-CN"/>
              </w:rPr>
              <w:t>预案措施评价</w:t>
            </w:r>
          </w:p>
          <w:p w14:paraId="7602DBB3">
            <w:pPr>
              <w:keepNext w:val="0"/>
              <w:keepLines w:val="0"/>
              <w:pageBreakBefore w:val="0"/>
              <w:kinsoku/>
              <w:wordWrap/>
              <w:overflowPunct/>
              <w:topLinePunct w:val="0"/>
              <w:autoSpaceDE/>
              <w:autoSpaceDN/>
              <w:bidi w:val="0"/>
              <w:adjustRightInd/>
              <w:snapToGrid w:val="0"/>
              <w:spacing w:line="560" w:lineRule="exact"/>
              <w:textAlignment w:val="auto"/>
              <w:rPr>
                <w:rFonts w:hint="eastAsia"/>
                <w:bCs/>
                <w:color w:val="000000"/>
                <w:sz w:val="28"/>
                <w:szCs w:val="24"/>
                <w:lang w:val="zh-CN" w:eastAsia="zh-CN"/>
              </w:rPr>
            </w:pPr>
          </w:p>
        </w:tc>
        <w:tc>
          <w:tcPr>
            <w:tcW w:w="5540" w:type="dxa"/>
            <w:noWrap w:val="0"/>
            <w:vAlign w:val="center"/>
          </w:tcPr>
          <w:p w14:paraId="61067581">
            <w:pPr>
              <w:keepNext w:val="0"/>
              <w:keepLines w:val="0"/>
              <w:pageBreakBefore w:val="0"/>
              <w:kinsoku/>
              <w:wordWrap/>
              <w:overflowPunct/>
              <w:topLinePunct w:val="0"/>
              <w:autoSpaceDE/>
              <w:autoSpaceDN/>
              <w:bidi w:val="0"/>
              <w:adjustRightInd/>
              <w:snapToGrid w:val="0"/>
              <w:spacing w:line="560" w:lineRule="exact"/>
              <w:textAlignment w:val="auto"/>
              <w:rPr>
                <w:rFonts w:hint="eastAsia"/>
                <w:bCs/>
                <w:color w:val="000000"/>
                <w:sz w:val="28"/>
                <w:szCs w:val="24"/>
                <w:lang w:val="en-US" w:eastAsia="zh-CN"/>
              </w:rPr>
            </w:pPr>
            <w:r>
              <w:rPr>
                <w:rFonts w:hint="eastAsia"/>
                <w:bCs/>
                <w:color w:val="000000"/>
                <w:sz w:val="28"/>
                <w:szCs w:val="24"/>
                <w:lang w:val="en-US" w:eastAsia="zh-CN"/>
              </w:rPr>
              <w:t>1.</w:t>
            </w:r>
            <w:r>
              <w:rPr>
                <w:rFonts w:hint="default"/>
                <w:bCs/>
                <w:color w:val="000000"/>
                <w:sz w:val="28"/>
                <w:szCs w:val="24"/>
                <w:lang w:eastAsia="zh-CN"/>
              </w:rPr>
              <w:t>应</w:t>
            </w:r>
            <w:r>
              <w:rPr>
                <w:rFonts w:hint="eastAsia"/>
                <w:bCs/>
                <w:color w:val="000000"/>
                <w:sz w:val="28"/>
                <w:szCs w:val="24"/>
                <w:lang w:val="en-US" w:eastAsia="zh-CN"/>
              </w:rPr>
              <w:t>急</w:t>
            </w:r>
            <w:r>
              <w:rPr>
                <w:rFonts w:hint="default"/>
                <w:bCs/>
                <w:color w:val="000000"/>
                <w:sz w:val="28"/>
                <w:szCs w:val="24"/>
                <w:lang w:eastAsia="zh-CN"/>
              </w:rPr>
              <w:t>维修</w:t>
            </w:r>
            <w:r>
              <w:rPr>
                <w:rFonts w:hint="eastAsia"/>
                <w:bCs/>
                <w:color w:val="000000"/>
                <w:sz w:val="28"/>
                <w:szCs w:val="24"/>
                <w:lang w:val="en-US" w:eastAsia="zh-CN"/>
              </w:rPr>
              <w:t>预案</w:t>
            </w:r>
            <w:r>
              <w:rPr>
                <w:rFonts w:hint="default"/>
                <w:bCs/>
                <w:color w:val="000000"/>
                <w:sz w:val="28"/>
                <w:szCs w:val="24"/>
                <w:lang w:eastAsia="zh-CN"/>
              </w:rPr>
              <w:t>、</w:t>
            </w:r>
            <w:r>
              <w:rPr>
                <w:rFonts w:hint="eastAsia"/>
                <w:bCs/>
                <w:color w:val="000000"/>
                <w:sz w:val="28"/>
                <w:szCs w:val="24"/>
                <w:lang w:val="en-US" w:eastAsia="zh-CN"/>
              </w:rPr>
              <w:t>措施方案具体、完整，可行性强的：</w:t>
            </w:r>
            <w:r>
              <w:rPr>
                <w:rFonts w:hint="default"/>
                <w:bCs/>
                <w:color w:val="000000"/>
                <w:sz w:val="28"/>
                <w:szCs w:val="24"/>
                <w:lang w:val="en-US" w:eastAsia="zh-CN"/>
              </w:rPr>
              <w:t>10</w:t>
            </w:r>
            <w:r>
              <w:rPr>
                <w:rFonts w:hint="eastAsia"/>
                <w:bCs/>
                <w:color w:val="000000"/>
                <w:sz w:val="28"/>
                <w:szCs w:val="24"/>
                <w:lang w:val="en-US" w:eastAsia="zh-CN"/>
              </w:rPr>
              <w:t>分；</w:t>
            </w:r>
          </w:p>
          <w:p w14:paraId="54602832">
            <w:pPr>
              <w:keepNext w:val="0"/>
              <w:keepLines w:val="0"/>
              <w:pageBreakBefore w:val="0"/>
              <w:kinsoku/>
              <w:wordWrap/>
              <w:overflowPunct/>
              <w:topLinePunct w:val="0"/>
              <w:autoSpaceDE/>
              <w:autoSpaceDN/>
              <w:bidi w:val="0"/>
              <w:adjustRightInd/>
              <w:snapToGrid w:val="0"/>
              <w:spacing w:line="560" w:lineRule="exact"/>
              <w:textAlignment w:val="auto"/>
              <w:rPr>
                <w:rFonts w:hint="eastAsia"/>
                <w:bCs/>
                <w:color w:val="000000"/>
                <w:sz w:val="28"/>
                <w:szCs w:val="24"/>
                <w:lang w:val="en-US" w:eastAsia="zh-CN"/>
              </w:rPr>
            </w:pPr>
            <w:r>
              <w:rPr>
                <w:rFonts w:hint="eastAsia"/>
                <w:bCs/>
                <w:color w:val="000000"/>
                <w:sz w:val="28"/>
                <w:szCs w:val="24"/>
                <w:lang w:val="en-US" w:eastAsia="zh-CN"/>
              </w:rPr>
              <w:t>2.</w:t>
            </w:r>
            <w:r>
              <w:rPr>
                <w:rFonts w:hint="default"/>
                <w:bCs/>
                <w:color w:val="000000"/>
                <w:sz w:val="28"/>
                <w:szCs w:val="24"/>
                <w:lang w:val="en-US" w:eastAsia="zh-CN"/>
              </w:rPr>
              <w:t>应</w:t>
            </w:r>
            <w:r>
              <w:rPr>
                <w:rFonts w:hint="eastAsia"/>
                <w:bCs/>
                <w:color w:val="000000"/>
                <w:sz w:val="28"/>
                <w:szCs w:val="24"/>
                <w:lang w:val="en-US" w:eastAsia="zh-CN"/>
              </w:rPr>
              <w:t>急</w:t>
            </w:r>
            <w:r>
              <w:rPr>
                <w:rFonts w:hint="default"/>
                <w:bCs/>
                <w:color w:val="000000"/>
                <w:sz w:val="28"/>
                <w:szCs w:val="24"/>
                <w:lang w:val="en-US" w:eastAsia="zh-CN"/>
              </w:rPr>
              <w:t>维修</w:t>
            </w:r>
            <w:r>
              <w:rPr>
                <w:rFonts w:hint="eastAsia"/>
                <w:bCs/>
                <w:color w:val="000000"/>
                <w:sz w:val="28"/>
                <w:szCs w:val="24"/>
                <w:lang w:val="en-US" w:eastAsia="zh-CN"/>
              </w:rPr>
              <w:t>预案</w:t>
            </w:r>
            <w:r>
              <w:rPr>
                <w:rFonts w:hint="default"/>
                <w:bCs/>
                <w:color w:val="000000"/>
                <w:sz w:val="28"/>
                <w:szCs w:val="24"/>
                <w:lang w:eastAsia="zh-CN"/>
              </w:rPr>
              <w:t>、</w:t>
            </w:r>
            <w:r>
              <w:rPr>
                <w:rFonts w:hint="eastAsia"/>
                <w:bCs/>
                <w:color w:val="000000"/>
                <w:sz w:val="28"/>
                <w:szCs w:val="24"/>
                <w:lang w:val="en-US" w:eastAsia="zh-CN"/>
              </w:rPr>
              <w:t>措施方案较具体、完整，可行性较好的：</w:t>
            </w:r>
            <w:r>
              <w:rPr>
                <w:rFonts w:hint="default"/>
                <w:bCs/>
                <w:color w:val="000000"/>
                <w:sz w:val="28"/>
                <w:szCs w:val="24"/>
                <w:lang w:val="en-US" w:eastAsia="zh-CN"/>
              </w:rPr>
              <w:t>7</w:t>
            </w:r>
            <w:r>
              <w:rPr>
                <w:rFonts w:hint="eastAsia"/>
                <w:bCs/>
                <w:color w:val="000000"/>
                <w:sz w:val="28"/>
                <w:szCs w:val="24"/>
                <w:lang w:val="en-US" w:eastAsia="zh-CN"/>
              </w:rPr>
              <w:t xml:space="preserve">分； </w:t>
            </w:r>
          </w:p>
          <w:p w14:paraId="212EA474">
            <w:pPr>
              <w:keepNext w:val="0"/>
              <w:keepLines w:val="0"/>
              <w:pageBreakBefore w:val="0"/>
              <w:kinsoku/>
              <w:wordWrap/>
              <w:overflowPunct/>
              <w:topLinePunct w:val="0"/>
              <w:autoSpaceDE/>
              <w:autoSpaceDN/>
              <w:bidi w:val="0"/>
              <w:adjustRightInd/>
              <w:snapToGrid w:val="0"/>
              <w:spacing w:line="560" w:lineRule="exact"/>
              <w:textAlignment w:val="auto"/>
              <w:rPr>
                <w:rFonts w:hint="eastAsia"/>
                <w:bCs/>
                <w:color w:val="000000"/>
                <w:sz w:val="28"/>
                <w:szCs w:val="24"/>
                <w:lang w:val="en-US" w:eastAsia="zh-CN"/>
              </w:rPr>
            </w:pPr>
            <w:r>
              <w:rPr>
                <w:rFonts w:hint="eastAsia"/>
                <w:bCs/>
                <w:color w:val="000000"/>
                <w:sz w:val="28"/>
                <w:szCs w:val="24"/>
                <w:lang w:val="en-US" w:eastAsia="zh-CN"/>
              </w:rPr>
              <w:t>3.</w:t>
            </w:r>
            <w:r>
              <w:rPr>
                <w:rFonts w:hint="default"/>
                <w:bCs/>
                <w:color w:val="000000"/>
                <w:sz w:val="28"/>
                <w:szCs w:val="24"/>
                <w:lang w:val="en-US" w:eastAsia="zh-CN"/>
              </w:rPr>
              <w:t>应</w:t>
            </w:r>
            <w:r>
              <w:rPr>
                <w:rFonts w:hint="eastAsia"/>
                <w:bCs/>
                <w:color w:val="000000"/>
                <w:sz w:val="28"/>
                <w:szCs w:val="24"/>
                <w:lang w:val="en-US" w:eastAsia="zh-CN"/>
              </w:rPr>
              <w:t>急</w:t>
            </w:r>
            <w:r>
              <w:rPr>
                <w:rFonts w:hint="default"/>
                <w:bCs/>
                <w:color w:val="000000"/>
                <w:sz w:val="28"/>
                <w:szCs w:val="24"/>
                <w:lang w:val="en-US" w:eastAsia="zh-CN"/>
              </w:rPr>
              <w:t>维修</w:t>
            </w:r>
            <w:r>
              <w:rPr>
                <w:rFonts w:hint="eastAsia"/>
                <w:bCs/>
                <w:color w:val="000000"/>
                <w:sz w:val="28"/>
                <w:szCs w:val="24"/>
                <w:lang w:val="en-US" w:eastAsia="zh-CN"/>
              </w:rPr>
              <w:t>预案</w:t>
            </w:r>
            <w:r>
              <w:rPr>
                <w:rFonts w:hint="default"/>
                <w:bCs/>
                <w:color w:val="000000"/>
                <w:sz w:val="28"/>
                <w:szCs w:val="24"/>
                <w:lang w:eastAsia="zh-CN"/>
              </w:rPr>
              <w:t>、</w:t>
            </w:r>
            <w:r>
              <w:rPr>
                <w:rFonts w:hint="eastAsia"/>
                <w:bCs/>
                <w:color w:val="000000"/>
                <w:sz w:val="28"/>
                <w:szCs w:val="24"/>
                <w:lang w:val="en-US" w:eastAsia="zh-CN"/>
              </w:rPr>
              <w:t>措施方案简单，可行性一般的：</w:t>
            </w:r>
            <w:r>
              <w:rPr>
                <w:rFonts w:hint="default"/>
                <w:bCs/>
                <w:color w:val="000000"/>
                <w:sz w:val="28"/>
                <w:szCs w:val="24"/>
                <w:lang w:val="en-US" w:eastAsia="zh-CN"/>
              </w:rPr>
              <w:t>4</w:t>
            </w:r>
            <w:r>
              <w:rPr>
                <w:rFonts w:hint="eastAsia"/>
                <w:bCs/>
                <w:color w:val="000000"/>
                <w:sz w:val="28"/>
                <w:szCs w:val="24"/>
                <w:lang w:val="en-US" w:eastAsia="zh-CN"/>
              </w:rPr>
              <w:t xml:space="preserve">分； </w:t>
            </w:r>
          </w:p>
          <w:p w14:paraId="6B81AF97">
            <w:pPr>
              <w:keepNext w:val="0"/>
              <w:keepLines w:val="0"/>
              <w:pageBreakBefore w:val="0"/>
              <w:kinsoku/>
              <w:wordWrap/>
              <w:overflowPunct/>
              <w:topLinePunct w:val="0"/>
              <w:autoSpaceDE/>
              <w:autoSpaceDN/>
              <w:bidi w:val="0"/>
              <w:adjustRightInd/>
              <w:snapToGrid w:val="0"/>
              <w:spacing w:line="560" w:lineRule="exact"/>
              <w:textAlignment w:val="auto"/>
              <w:rPr>
                <w:rFonts w:hint="eastAsia"/>
                <w:bCs/>
                <w:color w:val="000000"/>
                <w:sz w:val="28"/>
                <w:szCs w:val="24"/>
                <w:lang w:val="zh-CN" w:eastAsia="zh-CN"/>
              </w:rPr>
            </w:pPr>
            <w:r>
              <w:rPr>
                <w:rFonts w:hint="eastAsia"/>
                <w:bCs/>
                <w:color w:val="000000"/>
                <w:sz w:val="28"/>
                <w:szCs w:val="24"/>
                <w:lang w:val="en-US" w:eastAsia="zh-CN"/>
              </w:rPr>
              <w:t>4.未提供方案的，0分</w:t>
            </w:r>
          </w:p>
        </w:tc>
        <w:tc>
          <w:tcPr>
            <w:tcW w:w="835" w:type="dxa"/>
            <w:noWrap w:val="0"/>
            <w:vAlign w:val="center"/>
          </w:tcPr>
          <w:p w14:paraId="42F5CC03">
            <w:pPr>
              <w:keepNext w:val="0"/>
              <w:keepLines w:val="0"/>
              <w:pageBreakBefore w:val="0"/>
              <w:kinsoku/>
              <w:wordWrap/>
              <w:overflowPunct/>
              <w:topLinePunct w:val="0"/>
              <w:autoSpaceDE/>
              <w:autoSpaceDN/>
              <w:bidi w:val="0"/>
              <w:adjustRightInd/>
              <w:snapToGrid w:val="0"/>
              <w:spacing w:line="560" w:lineRule="exact"/>
              <w:textAlignment w:val="auto"/>
              <w:rPr>
                <w:rFonts w:hint="default"/>
                <w:bCs/>
                <w:color w:val="000000"/>
                <w:sz w:val="28"/>
                <w:szCs w:val="24"/>
                <w:lang w:val="en-US" w:eastAsia="zh-CN"/>
              </w:rPr>
            </w:pPr>
            <w:r>
              <w:rPr>
                <w:rFonts w:hint="eastAsia"/>
                <w:bCs/>
                <w:color w:val="000000"/>
                <w:sz w:val="28"/>
                <w:szCs w:val="24"/>
                <w:lang w:val="en-US" w:eastAsia="zh-CN"/>
              </w:rPr>
              <w:t>10</w:t>
            </w:r>
            <w:r>
              <w:rPr>
                <w:rFonts w:hint="eastAsia"/>
                <w:color w:val="000000"/>
                <w:kern w:val="0"/>
                <w:sz w:val="28"/>
                <w:szCs w:val="28"/>
                <w:lang w:val="en-US" w:eastAsia="zh-CN"/>
              </w:rPr>
              <w:t>分</w:t>
            </w:r>
          </w:p>
        </w:tc>
      </w:tr>
      <w:tr w14:paraId="48F9F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451" w:type="dxa"/>
            <w:noWrap w:val="0"/>
            <w:vAlign w:val="center"/>
          </w:tcPr>
          <w:p w14:paraId="5EF0AFB6">
            <w:pPr>
              <w:keepNext w:val="0"/>
              <w:keepLines w:val="0"/>
              <w:pageBreakBefore w:val="0"/>
              <w:kinsoku/>
              <w:wordWrap/>
              <w:overflowPunct/>
              <w:topLinePunct w:val="0"/>
              <w:autoSpaceDE/>
              <w:autoSpaceDN/>
              <w:bidi w:val="0"/>
              <w:adjustRightInd/>
              <w:snapToGrid w:val="0"/>
              <w:spacing w:line="560" w:lineRule="exact"/>
              <w:textAlignment w:val="auto"/>
              <w:rPr>
                <w:rFonts w:hint="default"/>
                <w:bCs/>
                <w:color w:val="000000"/>
                <w:sz w:val="28"/>
                <w:szCs w:val="24"/>
                <w:lang w:val="en-US" w:eastAsia="zh-CN"/>
              </w:rPr>
            </w:pPr>
            <w:r>
              <w:rPr>
                <w:rFonts w:hint="eastAsia"/>
                <w:bCs/>
                <w:color w:val="000000"/>
                <w:sz w:val="28"/>
                <w:szCs w:val="24"/>
                <w:lang w:val="en-US" w:eastAsia="zh-CN"/>
              </w:rPr>
              <w:t>8</w:t>
            </w:r>
          </w:p>
        </w:tc>
        <w:tc>
          <w:tcPr>
            <w:tcW w:w="1696" w:type="dxa"/>
            <w:noWrap w:val="0"/>
            <w:vAlign w:val="center"/>
          </w:tcPr>
          <w:p w14:paraId="40B8B505">
            <w:pPr>
              <w:pStyle w:val="2"/>
              <w:keepNext w:val="0"/>
              <w:keepLines w:val="0"/>
              <w:pageBreakBefore w:val="0"/>
              <w:kinsoku/>
              <w:wordWrap/>
              <w:overflowPunct/>
              <w:topLinePunct w:val="0"/>
              <w:autoSpaceDE/>
              <w:autoSpaceDN/>
              <w:bidi w:val="0"/>
              <w:adjustRightInd/>
              <w:spacing w:line="560" w:lineRule="exact"/>
              <w:textAlignment w:val="auto"/>
              <w:rPr>
                <w:rFonts w:hint="eastAsia"/>
                <w:lang w:val="en-US" w:eastAsia="zh-CN"/>
              </w:rPr>
            </w:pPr>
            <w:r>
              <w:rPr>
                <w:rFonts w:hint="eastAsia" w:ascii="Calibri" w:hAnsi="Calibri" w:eastAsia="宋体" w:cs="Times New Roman"/>
                <w:b w:val="0"/>
                <w:bCs/>
                <w:color w:val="000000"/>
                <w:kern w:val="2"/>
                <w:sz w:val="28"/>
                <w:szCs w:val="24"/>
                <w:lang w:val="en-US" w:eastAsia="zh-CN" w:bidi="ar-SA"/>
              </w:rPr>
              <w:t>安全保障措施评价</w:t>
            </w:r>
          </w:p>
        </w:tc>
        <w:tc>
          <w:tcPr>
            <w:tcW w:w="5540" w:type="dxa"/>
            <w:noWrap w:val="0"/>
            <w:vAlign w:val="center"/>
          </w:tcPr>
          <w:p w14:paraId="463F8E2C">
            <w:pPr>
              <w:keepNext w:val="0"/>
              <w:keepLines w:val="0"/>
              <w:pageBreakBefore w:val="0"/>
              <w:kinsoku/>
              <w:wordWrap/>
              <w:overflowPunct/>
              <w:topLinePunct w:val="0"/>
              <w:autoSpaceDE/>
              <w:autoSpaceDN/>
              <w:bidi w:val="0"/>
              <w:adjustRightInd/>
              <w:snapToGrid w:val="0"/>
              <w:spacing w:line="560" w:lineRule="exact"/>
              <w:textAlignment w:val="auto"/>
              <w:rPr>
                <w:rFonts w:hint="eastAsia"/>
                <w:bCs/>
                <w:color w:val="000000"/>
                <w:sz w:val="28"/>
                <w:szCs w:val="24"/>
                <w:lang w:val="en-US" w:eastAsia="zh-CN"/>
              </w:rPr>
            </w:pPr>
            <w:r>
              <w:rPr>
                <w:rFonts w:hint="eastAsia"/>
                <w:bCs/>
                <w:color w:val="000000"/>
                <w:sz w:val="28"/>
                <w:szCs w:val="24"/>
                <w:lang w:val="en-US" w:eastAsia="zh-CN"/>
              </w:rPr>
              <w:t>1.安全保证措施方案具体、完整，可行性强的：</w:t>
            </w:r>
            <w:r>
              <w:rPr>
                <w:rFonts w:hint="default"/>
                <w:bCs/>
                <w:color w:val="000000"/>
                <w:sz w:val="28"/>
                <w:szCs w:val="24"/>
                <w:lang w:val="en-US" w:eastAsia="zh-CN"/>
              </w:rPr>
              <w:t>10</w:t>
            </w:r>
            <w:r>
              <w:rPr>
                <w:rFonts w:hint="eastAsia"/>
                <w:bCs/>
                <w:color w:val="000000"/>
                <w:sz w:val="28"/>
                <w:szCs w:val="24"/>
                <w:lang w:val="en-US" w:eastAsia="zh-CN"/>
              </w:rPr>
              <w:t>分；</w:t>
            </w:r>
          </w:p>
          <w:p w14:paraId="08ECF516">
            <w:pPr>
              <w:keepNext w:val="0"/>
              <w:keepLines w:val="0"/>
              <w:pageBreakBefore w:val="0"/>
              <w:kinsoku/>
              <w:wordWrap/>
              <w:overflowPunct/>
              <w:topLinePunct w:val="0"/>
              <w:autoSpaceDE/>
              <w:autoSpaceDN/>
              <w:bidi w:val="0"/>
              <w:adjustRightInd/>
              <w:snapToGrid w:val="0"/>
              <w:spacing w:line="560" w:lineRule="exact"/>
              <w:textAlignment w:val="auto"/>
              <w:rPr>
                <w:rFonts w:hint="eastAsia"/>
                <w:bCs/>
                <w:color w:val="000000"/>
                <w:sz w:val="28"/>
                <w:szCs w:val="24"/>
                <w:lang w:val="en-US" w:eastAsia="zh-CN"/>
              </w:rPr>
            </w:pPr>
            <w:r>
              <w:rPr>
                <w:rFonts w:hint="eastAsia"/>
                <w:bCs/>
                <w:color w:val="000000"/>
                <w:sz w:val="28"/>
                <w:szCs w:val="24"/>
                <w:lang w:val="en-US" w:eastAsia="zh-CN"/>
              </w:rPr>
              <w:t>2.安全保证措施方案较具体、完整，可行性较好的：</w:t>
            </w:r>
            <w:r>
              <w:rPr>
                <w:rFonts w:hint="default"/>
                <w:bCs/>
                <w:color w:val="000000"/>
                <w:sz w:val="28"/>
                <w:szCs w:val="24"/>
                <w:lang w:val="en-US" w:eastAsia="zh-CN"/>
              </w:rPr>
              <w:t>7</w:t>
            </w:r>
            <w:r>
              <w:rPr>
                <w:rFonts w:hint="eastAsia"/>
                <w:bCs/>
                <w:color w:val="000000"/>
                <w:sz w:val="28"/>
                <w:szCs w:val="24"/>
                <w:lang w:val="en-US" w:eastAsia="zh-CN"/>
              </w:rPr>
              <w:t xml:space="preserve">分； </w:t>
            </w:r>
          </w:p>
          <w:p w14:paraId="2D9071B7">
            <w:pPr>
              <w:keepNext w:val="0"/>
              <w:keepLines w:val="0"/>
              <w:pageBreakBefore w:val="0"/>
              <w:kinsoku/>
              <w:wordWrap/>
              <w:overflowPunct/>
              <w:topLinePunct w:val="0"/>
              <w:autoSpaceDE/>
              <w:autoSpaceDN/>
              <w:bidi w:val="0"/>
              <w:adjustRightInd/>
              <w:snapToGrid w:val="0"/>
              <w:spacing w:line="560" w:lineRule="exact"/>
              <w:textAlignment w:val="auto"/>
              <w:rPr>
                <w:rFonts w:hint="eastAsia"/>
                <w:bCs/>
                <w:color w:val="000000"/>
                <w:sz w:val="28"/>
                <w:szCs w:val="24"/>
                <w:lang w:val="en-US" w:eastAsia="zh-CN"/>
              </w:rPr>
            </w:pPr>
            <w:r>
              <w:rPr>
                <w:rFonts w:hint="eastAsia"/>
                <w:bCs/>
                <w:color w:val="000000"/>
                <w:sz w:val="28"/>
                <w:szCs w:val="24"/>
                <w:lang w:val="en-US" w:eastAsia="zh-CN"/>
              </w:rPr>
              <w:t>3.安全保证措施方案简单，可行性一般的：</w:t>
            </w:r>
            <w:r>
              <w:rPr>
                <w:rFonts w:hint="default"/>
                <w:bCs/>
                <w:color w:val="000000"/>
                <w:sz w:val="28"/>
                <w:szCs w:val="24"/>
                <w:lang w:val="en-US" w:eastAsia="zh-CN"/>
              </w:rPr>
              <w:t>4</w:t>
            </w:r>
            <w:r>
              <w:rPr>
                <w:rFonts w:hint="eastAsia"/>
                <w:bCs/>
                <w:color w:val="000000"/>
                <w:sz w:val="28"/>
                <w:szCs w:val="24"/>
                <w:lang w:val="en-US" w:eastAsia="zh-CN"/>
              </w:rPr>
              <w:t xml:space="preserve">分； </w:t>
            </w:r>
          </w:p>
          <w:p w14:paraId="0E5BD89F">
            <w:pPr>
              <w:pStyle w:val="2"/>
              <w:keepNext w:val="0"/>
              <w:keepLines w:val="0"/>
              <w:pageBreakBefore w:val="0"/>
              <w:kinsoku/>
              <w:wordWrap/>
              <w:overflowPunct/>
              <w:topLinePunct w:val="0"/>
              <w:autoSpaceDE/>
              <w:autoSpaceDN/>
              <w:bidi w:val="0"/>
              <w:adjustRightInd/>
              <w:spacing w:line="560" w:lineRule="exact"/>
              <w:jc w:val="both"/>
              <w:textAlignment w:val="auto"/>
              <w:rPr>
                <w:rFonts w:hint="eastAsia"/>
                <w:lang w:val="zh-CN" w:eastAsia="zh-CN"/>
              </w:rPr>
            </w:pPr>
            <w:r>
              <w:rPr>
                <w:rFonts w:hint="eastAsia" w:ascii="Calibri" w:hAnsi="Calibri" w:eastAsia="宋体" w:cs="Times New Roman"/>
                <w:b w:val="0"/>
                <w:bCs/>
                <w:color w:val="000000"/>
                <w:kern w:val="2"/>
                <w:sz w:val="28"/>
                <w:szCs w:val="24"/>
                <w:lang w:val="en-US" w:eastAsia="zh-CN" w:bidi="ar-SA"/>
              </w:rPr>
              <w:t>4.未提供方案的，0分</w:t>
            </w:r>
          </w:p>
        </w:tc>
        <w:tc>
          <w:tcPr>
            <w:tcW w:w="835" w:type="dxa"/>
            <w:noWrap w:val="0"/>
            <w:vAlign w:val="center"/>
          </w:tcPr>
          <w:p w14:paraId="5B6900D5">
            <w:pPr>
              <w:keepNext w:val="0"/>
              <w:keepLines w:val="0"/>
              <w:pageBreakBefore w:val="0"/>
              <w:kinsoku/>
              <w:wordWrap/>
              <w:overflowPunct/>
              <w:topLinePunct w:val="0"/>
              <w:autoSpaceDE/>
              <w:autoSpaceDN/>
              <w:bidi w:val="0"/>
              <w:adjustRightInd/>
              <w:snapToGrid w:val="0"/>
              <w:spacing w:line="560" w:lineRule="exact"/>
              <w:textAlignment w:val="auto"/>
              <w:rPr>
                <w:rFonts w:hint="default"/>
                <w:bCs/>
                <w:color w:val="000000"/>
                <w:sz w:val="28"/>
                <w:szCs w:val="24"/>
                <w:lang w:val="en-US" w:eastAsia="zh-CN"/>
              </w:rPr>
            </w:pPr>
            <w:r>
              <w:rPr>
                <w:rFonts w:hint="eastAsia"/>
                <w:bCs/>
                <w:color w:val="000000"/>
                <w:sz w:val="28"/>
                <w:szCs w:val="24"/>
                <w:lang w:val="en-US" w:eastAsia="zh-CN"/>
              </w:rPr>
              <w:t>10</w:t>
            </w:r>
            <w:r>
              <w:rPr>
                <w:rFonts w:hint="eastAsia"/>
                <w:color w:val="000000"/>
                <w:kern w:val="0"/>
                <w:sz w:val="28"/>
                <w:szCs w:val="28"/>
                <w:lang w:val="en-US" w:eastAsia="zh-CN"/>
              </w:rPr>
              <w:t>分</w:t>
            </w:r>
          </w:p>
        </w:tc>
      </w:tr>
      <w:tr w14:paraId="483B7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451" w:type="dxa"/>
            <w:noWrap w:val="0"/>
            <w:vAlign w:val="center"/>
          </w:tcPr>
          <w:p w14:paraId="567B0F92">
            <w:pPr>
              <w:keepNext w:val="0"/>
              <w:keepLines w:val="0"/>
              <w:pageBreakBefore w:val="0"/>
              <w:kinsoku/>
              <w:wordWrap/>
              <w:overflowPunct/>
              <w:topLinePunct w:val="0"/>
              <w:autoSpaceDE/>
              <w:autoSpaceDN/>
              <w:bidi w:val="0"/>
              <w:adjustRightInd/>
              <w:snapToGrid w:val="0"/>
              <w:spacing w:line="560" w:lineRule="exact"/>
              <w:textAlignment w:val="auto"/>
              <w:rPr>
                <w:rFonts w:hint="default"/>
                <w:bCs/>
                <w:color w:val="000000"/>
                <w:sz w:val="28"/>
                <w:szCs w:val="24"/>
                <w:lang w:val="en-US" w:eastAsia="zh-CN"/>
              </w:rPr>
            </w:pPr>
            <w:r>
              <w:rPr>
                <w:rFonts w:hint="eastAsia"/>
                <w:bCs/>
                <w:color w:val="000000"/>
                <w:sz w:val="28"/>
                <w:szCs w:val="24"/>
                <w:lang w:val="en-US" w:eastAsia="zh-CN"/>
              </w:rPr>
              <w:t>9</w:t>
            </w:r>
          </w:p>
        </w:tc>
        <w:tc>
          <w:tcPr>
            <w:tcW w:w="1696" w:type="dxa"/>
            <w:noWrap w:val="0"/>
            <w:vAlign w:val="center"/>
          </w:tcPr>
          <w:p w14:paraId="1D5CFE7A">
            <w:pPr>
              <w:keepNext w:val="0"/>
              <w:keepLines w:val="0"/>
              <w:pageBreakBefore w:val="0"/>
              <w:kinsoku/>
              <w:wordWrap/>
              <w:overflowPunct/>
              <w:topLinePunct w:val="0"/>
              <w:autoSpaceDE/>
              <w:autoSpaceDN/>
              <w:bidi w:val="0"/>
              <w:adjustRightInd/>
              <w:snapToGrid w:val="0"/>
              <w:spacing w:line="560" w:lineRule="exact"/>
              <w:textAlignment w:val="auto"/>
              <w:rPr>
                <w:rFonts w:hint="eastAsia"/>
                <w:bCs/>
                <w:color w:val="000000"/>
                <w:sz w:val="28"/>
                <w:szCs w:val="24"/>
                <w:lang w:val="en-US" w:eastAsia="zh-CN"/>
              </w:rPr>
            </w:pPr>
            <w:r>
              <w:rPr>
                <w:rFonts w:hint="eastAsia"/>
                <w:bCs/>
                <w:color w:val="000000"/>
                <w:sz w:val="28"/>
                <w:szCs w:val="24"/>
                <w:lang w:val="en-US" w:eastAsia="zh-CN"/>
              </w:rPr>
              <w:t>维修</w:t>
            </w:r>
            <w:r>
              <w:rPr>
                <w:rFonts w:hint="default"/>
                <w:bCs/>
                <w:color w:val="000000"/>
                <w:sz w:val="28"/>
                <w:szCs w:val="24"/>
                <w:lang w:eastAsia="zh-CN"/>
              </w:rPr>
              <w:t>安装</w:t>
            </w:r>
            <w:r>
              <w:rPr>
                <w:rFonts w:hint="eastAsia"/>
                <w:bCs/>
                <w:color w:val="000000"/>
                <w:sz w:val="28"/>
                <w:szCs w:val="24"/>
                <w:lang w:val="en-US" w:eastAsia="zh-CN"/>
              </w:rPr>
              <w:t>过程中重点、难点分析及解决措施和方案</w:t>
            </w:r>
          </w:p>
        </w:tc>
        <w:tc>
          <w:tcPr>
            <w:tcW w:w="5540" w:type="dxa"/>
            <w:noWrap w:val="0"/>
            <w:vAlign w:val="center"/>
          </w:tcPr>
          <w:p w14:paraId="589FDEDF">
            <w:pPr>
              <w:keepNext w:val="0"/>
              <w:keepLines w:val="0"/>
              <w:pageBreakBefore w:val="0"/>
              <w:kinsoku/>
              <w:wordWrap/>
              <w:overflowPunct/>
              <w:topLinePunct w:val="0"/>
              <w:autoSpaceDE/>
              <w:autoSpaceDN/>
              <w:bidi w:val="0"/>
              <w:adjustRightInd/>
              <w:snapToGrid w:val="0"/>
              <w:spacing w:line="560" w:lineRule="exact"/>
              <w:textAlignment w:val="auto"/>
              <w:rPr>
                <w:rFonts w:hint="eastAsia"/>
                <w:bCs/>
                <w:color w:val="000000"/>
                <w:sz w:val="28"/>
                <w:szCs w:val="24"/>
                <w:lang w:val="en-US" w:eastAsia="zh-CN"/>
              </w:rPr>
            </w:pPr>
            <w:r>
              <w:rPr>
                <w:rFonts w:hint="eastAsia"/>
                <w:bCs/>
                <w:color w:val="000000"/>
                <w:sz w:val="28"/>
                <w:szCs w:val="24"/>
                <w:lang w:val="en-US" w:eastAsia="zh-CN"/>
              </w:rPr>
              <w:t>1.对维保中的重点、难点有准确的分析，有详细科学的解决措施和方案，叙述全面详细准确，切实可行，得10分；</w:t>
            </w:r>
          </w:p>
          <w:p w14:paraId="141D2786">
            <w:pPr>
              <w:keepNext w:val="0"/>
              <w:keepLines w:val="0"/>
              <w:pageBreakBefore w:val="0"/>
              <w:kinsoku/>
              <w:wordWrap/>
              <w:overflowPunct/>
              <w:topLinePunct w:val="0"/>
              <w:autoSpaceDE/>
              <w:autoSpaceDN/>
              <w:bidi w:val="0"/>
              <w:adjustRightInd/>
              <w:snapToGrid w:val="0"/>
              <w:spacing w:line="560" w:lineRule="exact"/>
              <w:textAlignment w:val="auto"/>
              <w:rPr>
                <w:rFonts w:hint="eastAsia"/>
                <w:bCs/>
                <w:color w:val="000000"/>
                <w:sz w:val="28"/>
                <w:szCs w:val="24"/>
                <w:lang w:val="en-US" w:eastAsia="zh-CN"/>
              </w:rPr>
            </w:pPr>
            <w:r>
              <w:rPr>
                <w:rFonts w:hint="eastAsia"/>
                <w:bCs/>
                <w:color w:val="000000"/>
                <w:sz w:val="28"/>
                <w:szCs w:val="24"/>
                <w:lang w:val="en-US" w:eastAsia="zh-CN"/>
              </w:rPr>
              <w:t>2.对维保中的重点、难点进行了分析，有解决措施和方案，叙述不详细不准确，可行性较差，得7分；</w:t>
            </w:r>
          </w:p>
          <w:p w14:paraId="3C57C5B0">
            <w:pPr>
              <w:keepNext w:val="0"/>
              <w:keepLines w:val="0"/>
              <w:pageBreakBefore w:val="0"/>
              <w:kinsoku/>
              <w:wordWrap/>
              <w:overflowPunct/>
              <w:topLinePunct w:val="0"/>
              <w:autoSpaceDE/>
              <w:autoSpaceDN/>
              <w:bidi w:val="0"/>
              <w:adjustRightInd/>
              <w:snapToGrid w:val="0"/>
              <w:spacing w:line="560" w:lineRule="exact"/>
              <w:textAlignment w:val="auto"/>
              <w:rPr>
                <w:rFonts w:hint="eastAsia"/>
                <w:bCs/>
                <w:color w:val="000000"/>
                <w:sz w:val="28"/>
                <w:szCs w:val="24"/>
                <w:lang w:val="en-US" w:eastAsia="zh-CN"/>
              </w:rPr>
            </w:pPr>
            <w:r>
              <w:rPr>
                <w:rFonts w:hint="eastAsia"/>
                <w:bCs/>
                <w:color w:val="000000"/>
                <w:sz w:val="28"/>
                <w:szCs w:val="24"/>
                <w:lang w:val="en-US" w:eastAsia="zh-CN"/>
              </w:rPr>
              <w:t>3.对维保中的重点、难点进行了分析，解决措施不全面，可行性差，得4分；</w:t>
            </w:r>
          </w:p>
          <w:p w14:paraId="33043EBB">
            <w:pPr>
              <w:keepNext w:val="0"/>
              <w:keepLines w:val="0"/>
              <w:pageBreakBefore w:val="0"/>
              <w:kinsoku/>
              <w:wordWrap/>
              <w:overflowPunct/>
              <w:topLinePunct w:val="0"/>
              <w:autoSpaceDE/>
              <w:autoSpaceDN/>
              <w:bidi w:val="0"/>
              <w:adjustRightInd/>
              <w:snapToGrid w:val="0"/>
              <w:spacing w:line="560" w:lineRule="exact"/>
              <w:textAlignment w:val="auto"/>
              <w:rPr>
                <w:rFonts w:hint="eastAsia"/>
                <w:bCs/>
                <w:color w:val="000000"/>
                <w:sz w:val="28"/>
                <w:szCs w:val="24"/>
                <w:lang w:val="en-US" w:eastAsia="zh-CN"/>
              </w:rPr>
            </w:pPr>
            <w:r>
              <w:rPr>
                <w:rFonts w:hint="eastAsia"/>
                <w:bCs/>
                <w:color w:val="000000"/>
                <w:sz w:val="28"/>
                <w:szCs w:val="24"/>
                <w:lang w:val="en-US" w:eastAsia="zh-CN"/>
              </w:rPr>
              <w:t>未提供方案的，0分</w:t>
            </w:r>
          </w:p>
        </w:tc>
        <w:tc>
          <w:tcPr>
            <w:tcW w:w="835" w:type="dxa"/>
            <w:noWrap w:val="0"/>
            <w:vAlign w:val="center"/>
          </w:tcPr>
          <w:p w14:paraId="4C223286">
            <w:pPr>
              <w:keepNext w:val="0"/>
              <w:keepLines w:val="0"/>
              <w:pageBreakBefore w:val="0"/>
              <w:kinsoku/>
              <w:wordWrap/>
              <w:overflowPunct/>
              <w:topLinePunct w:val="0"/>
              <w:autoSpaceDE/>
              <w:autoSpaceDN/>
              <w:bidi w:val="0"/>
              <w:adjustRightInd/>
              <w:snapToGrid w:val="0"/>
              <w:spacing w:line="560" w:lineRule="exact"/>
              <w:textAlignment w:val="auto"/>
              <w:rPr>
                <w:rFonts w:hint="default"/>
                <w:bCs/>
                <w:color w:val="000000"/>
                <w:sz w:val="28"/>
                <w:szCs w:val="24"/>
                <w:lang w:val="en-US" w:eastAsia="zh-CN"/>
              </w:rPr>
            </w:pPr>
            <w:r>
              <w:rPr>
                <w:rFonts w:hint="eastAsia"/>
                <w:bCs/>
                <w:color w:val="000000"/>
                <w:sz w:val="28"/>
                <w:szCs w:val="24"/>
                <w:lang w:val="en-US" w:eastAsia="zh-CN"/>
              </w:rPr>
              <w:t>10分</w:t>
            </w:r>
          </w:p>
        </w:tc>
      </w:tr>
    </w:tbl>
    <w:p w14:paraId="011752EE">
      <w:pPr>
        <w:rPr>
          <w:rFonts w:hint="eastAsia"/>
          <w:lang w:eastAsia="zh-CN"/>
        </w:rPr>
      </w:pPr>
    </w:p>
    <w:p w14:paraId="5A6630C0">
      <w:pPr>
        <w:rPr>
          <w:rFonts w:hint="default"/>
          <w:lang w:eastAsia="zh-CN"/>
        </w:rPr>
      </w:pPr>
    </w:p>
    <w:p w14:paraId="5B75E75B"/>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7C514">
    <w:pPr>
      <w:pStyle w:val="4"/>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1505A03E">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6366D">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FE45DD"/>
    <w:multiLevelType w:val="singleLevel"/>
    <w:tmpl w:val="2DFE45D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ViOGEwNjRkYzljMDkwZWU1YTJmMWQ3ZTc2NTFmZjUifQ=="/>
  </w:docVars>
  <w:rsids>
    <w:rsidRoot w:val="00000000"/>
    <w:rsid w:val="25974954"/>
    <w:rsid w:val="3EAB0813"/>
    <w:rsid w:val="533D41AC"/>
    <w:rsid w:val="5B6B2B7A"/>
    <w:rsid w:val="5ED79EB1"/>
    <w:rsid w:val="7A2F017B"/>
    <w:rsid w:val="7D7D9BA8"/>
    <w:rsid w:val="7FF5539D"/>
    <w:rsid w:val="9FDFC39B"/>
    <w:rsid w:val="BEBE8494"/>
    <w:rsid w:val="DDDEA3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4"/>
    <w:basedOn w:val="1"/>
    <w:next w:val="1"/>
    <w:qFormat/>
    <w:uiPriority w:val="9"/>
    <w:pPr>
      <w:outlineLvl w:val="3"/>
    </w:pPr>
    <w:rPr>
      <w:sz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center"/>
    </w:pPr>
    <w:rPr>
      <w:rFonts w:ascii="仿宋_GB2312" w:hAnsi="宋体" w:eastAsia="仿宋_GB2312"/>
      <w:b/>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7191</Words>
  <Characters>7516</Characters>
  <Lines>0</Lines>
  <Paragraphs>0</Paragraphs>
  <TotalTime>5</TotalTime>
  <ScaleCrop>false</ScaleCrop>
  <LinksUpToDate>false</LinksUpToDate>
  <CharactersWithSpaces>7694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2014-11-01T12:08:00Z</dcterms:created>
  <dc:creator>Administrator</dc:creator>
  <cp:lastModifiedBy>田茂金</cp:lastModifiedBy>
  <dcterms:modified xsi:type="dcterms:W3CDTF">2024-09-10T01:13:18Z</dcterms:modified>
  <dc:title>天津市人民政府政务服务办公室2024年度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0403EE58475647D6B90EE0CCFD57CAD2_12</vt:lpwstr>
  </property>
</Properties>
</file>