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eastAsiaTheme="minorEastAsia"/>
          <w:b/>
          <w:bCs/>
          <w:sz w:val="24"/>
          <w:szCs w:val="24"/>
          <w:lang w:eastAsia="zh-CN"/>
        </w:rPr>
      </w:pPr>
      <w:r>
        <w:rPr>
          <w:rFonts w:hint="eastAsia"/>
          <w:b/>
          <w:bCs/>
          <w:sz w:val="24"/>
          <w:szCs w:val="24"/>
          <w:lang w:eastAsia="zh-CN"/>
        </w:rPr>
        <w:t>附件一</w:t>
      </w:r>
    </w:p>
    <w:p>
      <w:pPr>
        <w:spacing w:line="600" w:lineRule="exact"/>
        <w:jc w:val="center"/>
        <w:rPr>
          <w:rFonts w:hint="default" w:ascii="方正小标宋简体" w:hAnsi="方正小标宋简体" w:eastAsia="方正小标宋简体"/>
          <w:spacing w:val="-10"/>
          <w:sz w:val="44"/>
          <w:szCs w:val="44"/>
        </w:rPr>
      </w:pPr>
    </w:p>
    <w:p>
      <w:pPr>
        <w:spacing w:line="600" w:lineRule="exact"/>
        <w:jc w:val="center"/>
        <w:rPr>
          <w:rFonts w:hint="eastAsia" w:ascii="方正小标宋简体" w:hAnsi="方正小标宋简体" w:eastAsia="方正小标宋简体"/>
          <w:spacing w:val="-10"/>
          <w:sz w:val="44"/>
          <w:szCs w:val="44"/>
        </w:rPr>
      </w:pPr>
      <w:r>
        <w:rPr>
          <w:rFonts w:hint="default" w:ascii="方正小标宋简体" w:hAnsi="方正小标宋简体" w:eastAsia="方正小标宋简体"/>
          <w:spacing w:val="-10"/>
          <w:sz w:val="44"/>
          <w:szCs w:val="44"/>
        </w:rPr>
        <w:t>天津市</w:t>
      </w:r>
      <w:r>
        <w:rPr>
          <w:rFonts w:hint="eastAsia" w:ascii="方正小标宋简体" w:hAnsi="方正小标宋简体" w:eastAsia="方正小标宋简体"/>
          <w:spacing w:val="-10"/>
          <w:sz w:val="44"/>
          <w:szCs w:val="44"/>
          <w:lang w:eastAsia="zh-CN"/>
        </w:rPr>
        <w:t>人民政府政务服务办公室</w:t>
      </w:r>
      <w:r>
        <w:rPr>
          <w:rFonts w:hint="eastAsia" w:ascii="方正小标宋简体" w:hAnsi="方正小标宋简体" w:eastAsia="方正小标宋简体"/>
          <w:spacing w:val="-10"/>
          <w:sz w:val="44"/>
          <w:szCs w:val="44"/>
          <w:lang w:val="en-US" w:eastAsia="zh-CN"/>
        </w:rPr>
        <w:t>2025年度</w:t>
      </w:r>
      <w:r>
        <w:rPr>
          <w:rFonts w:hint="eastAsia" w:ascii="方正小标宋简体" w:hAnsi="方正小标宋简体" w:eastAsia="方正小标宋简体"/>
          <w:spacing w:val="-10"/>
          <w:sz w:val="44"/>
          <w:szCs w:val="44"/>
          <w:lang w:eastAsia="zh-CN"/>
        </w:rPr>
        <w:t>电梯日常维护保养（直梯及扶梯）项目</w:t>
      </w:r>
      <w:r>
        <w:rPr>
          <w:rFonts w:hint="default" w:ascii="方正小标宋简体" w:hAnsi="方正小标宋简体" w:eastAsia="方正小标宋简体"/>
          <w:spacing w:val="-10"/>
          <w:sz w:val="44"/>
          <w:szCs w:val="44"/>
        </w:rPr>
        <w:t>需求书</w:t>
      </w:r>
    </w:p>
    <w:p>
      <w:pPr>
        <w:jc w:val="center"/>
        <w:rPr>
          <w:rFonts w:hint="eastAsia" w:ascii="方正小标宋简体" w:eastAsia="方正小标宋简体"/>
          <w:sz w:val="32"/>
          <w:szCs w:val="32"/>
        </w:rPr>
      </w:pPr>
    </w:p>
    <w:p>
      <w:pPr>
        <w:spacing w:line="530" w:lineRule="exact"/>
        <w:ind w:firstLine="641"/>
        <w:rPr>
          <w:rFonts w:ascii="黑体" w:hAnsi="黑体" w:eastAsia="黑体" w:cs="黑体"/>
          <w:bCs/>
          <w:sz w:val="32"/>
          <w:szCs w:val="32"/>
        </w:rPr>
      </w:pPr>
      <w:r>
        <w:rPr>
          <w:rFonts w:ascii="黑体" w:hAnsi="黑体" w:eastAsia="黑体" w:cs="黑体"/>
          <w:bCs/>
          <w:sz w:val="32"/>
          <w:szCs w:val="32"/>
        </w:rPr>
        <w:t>一</w:t>
      </w:r>
      <w:r>
        <w:rPr>
          <w:rFonts w:hint="eastAsia" w:ascii="黑体" w:hAnsi="黑体" w:eastAsia="黑体" w:cs="黑体"/>
          <w:bCs/>
          <w:sz w:val="32"/>
          <w:szCs w:val="32"/>
        </w:rPr>
        <w:t>、项目简介</w:t>
      </w:r>
    </w:p>
    <w:p>
      <w:pPr>
        <w:spacing w:line="530" w:lineRule="exact"/>
        <w:ind w:firstLine="641"/>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为</w:t>
      </w:r>
      <w:r>
        <w:rPr>
          <w:rFonts w:hint="eastAsia" w:ascii="仿宋_GB2312" w:hAnsi="仿宋_GB2312" w:eastAsia="仿宋_GB2312" w:cs="仿宋_GB2312"/>
          <w:color w:val="000000"/>
          <w:kern w:val="0"/>
          <w:sz w:val="32"/>
          <w:szCs w:val="32"/>
          <w:lang w:eastAsia="zh-CN" w:bidi="ar"/>
        </w:rPr>
        <w:t>保障</w:t>
      </w:r>
      <w:r>
        <w:rPr>
          <w:rFonts w:hint="eastAsia" w:ascii="仿宋_GB2312" w:hAnsi="仿宋_GB2312" w:eastAsia="仿宋_GB2312" w:cs="仿宋_GB2312"/>
          <w:color w:val="000000"/>
          <w:kern w:val="0"/>
          <w:sz w:val="32"/>
          <w:szCs w:val="32"/>
          <w:lang w:bidi="ar"/>
        </w:rPr>
        <w:t>天津市政务服务</w:t>
      </w:r>
      <w:r>
        <w:rPr>
          <w:rFonts w:hint="eastAsia" w:ascii="仿宋_GB2312" w:hAnsi="仿宋_GB2312" w:eastAsia="仿宋_GB2312" w:cs="仿宋_GB2312"/>
          <w:color w:val="000000"/>
          <w:kern w:val="0"/>
          <w:sz w:val="32"/>
          <w:szCs w:val="32"/>
          <w:lang w:eastAsia="zh-CN" w:bidi="ar"/>
        </w:rPr>
        <w:t>中心</w:t>
      </w:r>
      <w:r>
        <w:rPr>
          <w:rFonts w:hint="eastAsia" w:ascii="仿宋_GB2312" w:hAnsi="仿宋_GB2312" w:eastAsia="仿宋_GB2312" w:cs="仿宋_GB2312"/>
          <w:color w:val="000000"/>
          <w:kern w:val="0"/>
          <w:sz w:val="32"/>
          <w:szCs w:val="32"/>
          <w:lang w:bidi="ar"/>
        </w:rPr>
        <w:t>现有4部直梯及4部扶梯</w:t>
      </w:r>
      <w:r>
        <w:rPr>
          <w:rFonts w:hint="eastAsia" w:ascii="仿宋_GB2312" w:hAnsi="仿宋_GB2312" w:eastAsia="仿宋_GB2312" w:cs="仿宋_GB2312"/>
          <w:color w:val="000000"/>
          <w:kern w:val="0"/>
          <w:sz w:val="32"/>
          <w:szCs w:val="32"/>
          <w:lang w:eastAsia="zh-CN" w:bidi="ar"/>
        </w:rPr>
        <w:t>安全稳定运行</w:t>
      </w:r>
      <w:r>
        <w:rPr>
          <w:rFonts w:hint="eastAsia" w:ascii="仿宋_GB2312" w:hAnsi="仿宋_GB2312" w:eastAsia="仿宋_GB2312" w:cs="仿宋_GB2312"/>
          <w:color w:val="000000"/>
          <w:kern w:val="0"/>
          <w:sz w:val="32"/>
          <w:szCs w:val="32"/>
          <w:lang w:bidi="ar"/>
        </w:rPr>
        <w:t>，进行维保服务招标。</w:t>
      </w:r>
    </w:p>
    <w:p>
      <w:pPr>
        <w:numPr>
          <w:ilvl w:val="0"/>
          <w:numId w:val="1"/>
        </w:numPr>
        <w:spacing w:line="530" w:lineRule="exact"/>
        <w:ind w:firstLine="641"/>
        <w:rPr>
          <w:rFonts w:hint="eastAsia" w:ascii="黑体" w:hAnsi="黑体" w:eastAsia="黑体" w:cs="黑体"/>
          <w:bCs/>
          <w:sz w:val="32"/>
          <w:szCs w:val="32"/>
        </w:rPr>
      </w:pPr>
      <w:r>
        <w:rPr>
          <w:rFonts w:hint="eastAsia" w:ascii="黑体" w:hAnsi="黑体" w:eastAsia="黑体" w:cs="黑体"/>
          <w:bCs/>
          <w:sz w:val="32"/>
          <w:szCs w:val="32"/>
        </w:rPr>
        <w:t>资格要求</w:t>
      </w:r>
    </w:p>
    <w:p>
      <w:pPr>
        <w:numPr>
          <w:ilvl w:val="0"/>
          <w:numId w:val="2"/>
        </w:num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投标人提供营业执照副本或事业单位法人证书或民办非企业单位登记证书或社会团体法人登记证书或基金会法人登记证书复印件或自然人的身份证明复印件，复印件加盖单位公章；</w:t>
      </w:r>
    </w:p>
    <w:p>
      <w:pPr>
        <w:numPr>
          <w:ilvl w:val="0"/>
          <w:numId w:val="2"/>
        </w:num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应具备《中华人民共和国特种设备生产许可证》（电梯制造（含安装、修理、改造），子项目中需包含曳引驱动乘客电梯（含消防员电梯）、自动扶梯）或《中华人民共和国特种设备生产许可证》（电梯安装（含修理），子项目中需包含曳引驱动乘客电梯（含消防员电梯）、自动扶梯）或《中华人民共和国特种设备安装改造维修许可证》（电梯）B级或以上，类型至少包含乘客电梯、自动扶梯，提供复印件加盖单位公章。</w:t>
      </w:r>
    </w:p>
    <w:p>
      <w:pPr>
        <w:numPr>
          <w:ilvl w:val="0"/>
          <w:numId w:val="2"/>
        </w:num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本项目不接受联合体参与投标。</w:t>
      </w:r>
    </w:p>
    <w:p>
      <w:pPr>
        <w:numPr>
          <w:ilvl w:val="0"/>
          <w:numId w:val="2"/>
        </w:num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投标人提供加盖单位公章的《书面声明》，具体内容详见附件三。</w:t>
      </w:r>
    </w:p>
    <w:p>
      <w:pPr>
        <w:spacing w:line="530" w:lineRule="exact"/>
        <w:rPr>
          <w:rFonts w:ascii="黑体" w:hAnsi="黑体" w:eastAsia="黑体" w:cs="黑体"/>
          <w:bCs/>
          <w:sz w:val="32"/>
          <w:szCs w:val="32"/>
        </w:rPr>
      </w:pPr>
      <w:r>
        <w:rPr>
          <w:rFonts w:hint="default" w:ascii="Times New Roman" w:hAnsi="Times New Roman" w:eastAsia="仿宋_GB2312"/>
          <w:sz w:val="32"/>
          <w:szCs w:val="32"/>
        </w:rPr>
        <w:t xml:space="preserve">    </w:t>
      </w:r>
      <w:r>
        <w:rPr>
          <w:rFonts w:hint="eastAsia" w:ascii="黑体" w:hAnsi="黑体" w:eastAsia="黑体" w:cs="黑体"/>
          <w:bCs/>
          <w:sz w:val="32"/>
          <w:szCs w:val="32"/>
        </w:rPr>
        <w:t>三、采购预算及结算方式</w:t>
      </w:r>
    </w:p>
    <w:p>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（1）项目预算</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40000</w:t>
      </w:r>
      <w:r>
        <w:rPr>
          <w:rFonts w:ascii="Times New Roman" w:hAnsi="Times New Roman" w:eastAsia="仿宋_GB2312"/>
          <w:sz w:val="32"/>
          <w:szCs w:val="32"/>
        </w:rPr>
        <w:t>元。</w:t>
      </w:r>
    </w:p>
    <w:p>
      <w:pPr>
        <w:spacing w:line="530" w:lineRule="exact"/>
        <w:ind w:firstLine="641"/>
        <w:rPr>
          <w:rFonts w:hint="eastAsia" w:ascii="Times New Roman" w:hAnsi="Times New Roman" w:eastAsia="仿宋_GB2312"/>
          <w:sz w:val="32"/>
          <w:szCs w:val="32"/>
          <w:lang w:eastAsia="zh-CN"/>
        </w:rPr>
      </w:pPr>
      <w:r>
        <w:rPr>
          <w:rFonts w:ascii="Times New Roman" w:hAnsi="Times New Roman" w:eastAsia="仿宋_GB2312"/>
          <w:sz w:val="32"/>
          <w:szCs w:val="32"/>
        </w:rPr>
        <w:t>（2）结算方式：</w:t>
      </w:r>
      <w:r>
        <w:rPr>
          <w:rFonts w:hint="eastAsia" w:ascii="Times New Roman" w:hAnsi="Times New Roman" w:eastAsia="仿宋_GB2312"/>
          <w:sz w:val="32"/>
          <w:szCs w:val="32"/>
          <w:lang w:eastAsia="zh-CN"/>
        </w:rPr>
        <w:t>按季度付款，每季度末支付该季度服务费，付款前应向甲方提供维保验收合格证明文件。</w:t>
      </w:r>
    </w:p>
    <w:p>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四、服务要求</w:t>
      </w:r>
    </w:p>
    <w:p>
      <w:pPr>
        <w:spacing w:line="530" w:lineRule="exact"/>
        <w:ind w:firstLine="641"/>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投标人应当完成半月、月、季度、半年、年保养及年度电梯检测，并做好维护保养记录；</w:t>
      </w:r>
    </w:p>
    <w:p>
      <w:pPr>
        <w:spacing w:line="530" w:lineRule="exact"/>
        <w:ind w:firstLine="641"/>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提供电梯日常召修、应急故障处理、年度特检等服务；</w:t>
      </w:r>
    </w:p>
    <w:p>
      <w:pPr>
        <w:spacing w:line="530" w:lineRule="exact"/>
        <w:ind w:firstLine="641"/>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提供</w:t>
      </w:r>
      <w:r>
        <w:rPr>
          <w:rFonts w:hint="eastAsia" w:ascii="Times New Roman" w:hAnsi="Times New Roman" w:eastAsia="仿宋_GB2312"/>
          <w:sz w:val="32"/>
          <w:szCs w:val="32"/>
          <w:lang w:val="en-US" w:eastAsia="zh-CN"/>
        </w:rPr>
        <w:t>7*24小时服务，接到保修电话应在1小时内派维保人员赶往现场排除故障，可以现场修复的应立即修复，无法现场修复的，应在合理期限内修复并保证修复后电梯安全运行，维保人员须持有《中华人民共和国特种设备安全管理和作业人员证（电梯修理T）》，并购买人身意外保险；</w:t>
      </w:r>
    </w:p>
    <w:p>
      <w:pPr>
        <w:spacing w:line="530" w:lineRule="exact"/>
        <w:ind w:firstLine="641"/>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4）维修中所需相关工具及设备均由投标人自行配备，维修时现场应设置安全警示标识，并严格落实安全生产防护措施，保证作业安全；</w:t>
      </w:r>
    </w:p>
    <w:p>
      <w:pPr>
        <w:spacing w:line="53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随时听取甲方的反馈，对</w:t>
      </w:r>
      <w:r>
        <w:rPr>
          <w:rFonts w:hint="eastAsia" w:ascii="Times New Roman" w:hAnsi="Times New Roman" w:eastAsia="仿宋_GB2312"/>
          <w:sz w:val="32"/>
          <w:szCs w:val="32"/>
          <w:lang w:eastAsia="zh-CN"/>
        </w:rPr>
        <w:t>电梯运行异常的</w:t>
      </w:r>
      <w:r>
        <w:rPr>
          <w:rFonts w:hint="eastAsia" w:ascii="Times New Roman" w:hAnsi="Times New Roman" w:eastAsia="仿宋_GB2312"/>
          <w:sz w:val="32"/>
          <w:szCs w:val="32"/>
        </w:rPr>
        <w:t>状况，做认真分析及纠正；</w:t>
      </w:r>
    </w:p>
    <w:p>
      <w:pPr>
        <w:spacing w:line="53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配合特种设备安全监督管理部门对电梯的年检，因维护保养原因导致电梯年检不合格的，由乙方负责整改完成，并承担其复检费用；</w:t>
      </w:r>
    </w:p>
    <w:p>
      <w:pPr>
        <w:spacing w:line="530" w:lineRule="exact"/>
        <w:ind w:firstLine="641"/>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7）乙方</w:t>
      </w:r>
      <w:r>
        <w:rPr>
          <w:rFonts w:hint="eastAsia" w:ascii="Times New Roman" w:hAnsi="Times New Roman" w:eastAsia="仿宋_GB2312"/>
          <w:sz w:val="32"/>
          <w:szCs w:val="32"/>
        </w:rPr>
        <w:t>承担日常维护保养中所需润滑油费用；</w:t>
      </w:r>
    </w:p>
    <w:p>
      <w:pPr>
        <w:spacing w:line="530" w:lineRule="exact"/>
        <w:ind w:firstLine="641"/>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乙方</w:t>
      </w:r>
      <w:r>
        <w:rPr>
          <w:rFonts w:hint="eastAsia" w:ascii="Times New Roman" w:hAnsi="Times New Roman" w:eastAsia="仿宋_GB2312"/>
          <w:sz w:val="32"/>
          <w:szCs w:val="32"/>
          <w:lang w:eastAsia="zh-CN"/>
        </w:rPr>
        <w:t>在</w:t>
      </w:r>
      <w:r>
        <w:rPr>
          <w:rFonts w:hint="eastAsia" w:ascii="Times New Roman" w:hAnsi="Times New Roman" w:eastAsia="仿宋_GB2312"/>
          <w:sz w:val="32"/>
          <w:szCs w:val="32"/>
        </w:rPr>
        <w:t>维保或者自行检查发现合同规定的维保内容已经不能保证</w:t>
      </w:r>
      <w:r>
        <w:rPr>
          <w:rFonts w:hint="eastAsia" w:ascii="Times New Roman" w:hAnsi="Times New Roman" w:eastAsia="仿宋_GB2312"/>
          <w:sz w:val="32"/>
          <w:szCs w:val="32"/>
          <w:lang w:eastAsia="zh-CN"/>
        </w:rPr>
        <w:t>电梯</w:t>
      </w:r>
      <w:r>
        <w:rPr>
          <w:rFonts w:hint="eastAsia" w:ascii="Times New Roman" w:hAnsi="Times New Roman" w:eastAsia="仿宋_GB2312"/>
          <w:sz w:val="32"/>
          <w:szCs w:val="32"/>
        </w:rPr>
        <w:t>安全运行，需要改造、维修或者更换零部件、更新电梯时，应当在3日内以书面方式向甲方提出</w:t>
      </w:r>
      <w:r>
        <w:rPr>
          <w:rFonts w:hint="eastAsia" w:ascii="Times New Roman" w:hAnsi="Times New Roman" w:eastAsia="仿宋_GB2312"/>
          <w:sz w:val="32"/>
          <w:szCs w:val="32"/>
          <w:lang w:eastAsia="zh-CN"/>
        </w:rPr>
        <w:t>；</w:t>
      </w:r>
    </w:p>
    <w:p>
      <w:pPr>
        <w:spacing w:line="530" w:lineRule="exact"/>
        <w:ind w:firstLine="641"/>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ascii="Times New Roman" w:hAnsi="Times New Roman" w:eastAsia="仿宋_GB2312"/>
          <w:sz w:val="32"/>
          <w:szCs w:val="32"/>
        </w:rPr>
        <w:t>若投标人在服务期内出现服务质量问题或未达到采购人要求的，采购人有权要求其整改，若在采购人要求的整改期限内无法完成整改或整改不合格，采购人有权终止合同</w:t>
      </w:r>
      <w:r>
        <w:rPr>
          <w:rFonts w:hint="eastAsia" w:ascii="Times New Roman" w:hAnsi="Times New Roman" w:eastAsia="仿宋_GB2312"/>
          <w:sz w:val="32"/>
          <w:szCs w:val="32"/>
          <w:lang w:eastAsia="zh-CN"/>
        </w:rPr>
        <w:t>；</w:t>
      </w:r>
    </w:p>
    <w:p>
      <w:pPr>
        <w:spacing w:line="530" w:lineRule="exact"/>
        <w:ind w:firstLine="641"/>
        <w:rPr>
          <w:rFonts w:hint="default" w:ascii="Times New Roman" w:hAnsi="Times New Roman" w:eastAsia="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ascii="Times New Roman" w:hAnsi="Times New Roman" w:eastAsia="仿宋_GB2312"/>
          <w:sz w:val="32"/>
          <w:szCs w:val="32"/>
        </w:rPr>
        <w:t>投标人在履行合同期间要加强安全管控，如出现安全事故由投标人自行负责。签订合同时应与采购人签订保密协议。</w:t>
      </w:r>
    </w:p>
    <w:p>
      <w:pPr>
        <w:numPr>
          <w:ilvl w:val="0"/>
          <w:numId w:val="3"/>
        </w:numPr>
        <w:spacing w:line="530" w:lineRule="exact"/>
        <w:ind w:left="-11" w:leftChars="0" w:firstLine="641" w:firstLineChars="0"/>
        <w:rPr>
          <w:rFonts w:hint="eastAsia" w:ascii="Times New Roman" w:hAnsi="Times New Roman" w:eastAsia="黑体"/>
          <w:bCs/>
          <w:sz w:val="32"/>
          <w:szCs w:val="32"/>
          <w:lang w:eastAsia="zh-CN"/>
        </w:rPr>
      </w:pPr>
      <w:r>
        <w:rPr>
          <w:rFonts w:hint="eastAsia" w:ascii="Times New Roman" w:hAnsi="Times New Roman" w:eastAsia="黑体"/>
          <w:bCs/>
          <w:sz w:val="32"/>
          <w:szCs w:val="32"/>
          <w:lang w:eastAsia="zh-CN"/>
        </w:rPr>
        <w:t>服务期</w:t>
      </w:r>
    </w:p>
    <w:p>
      <w:pPr>
        <w:spacing w:line="530" w:lineRule="exact"/>
        <w:ind w:firstLine="641"/>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自签订合同之日起</w:t>
      </w:r>
      <w:r>
        <w:rPr>
          <w:rFonts w:hint="eastAsia" w:ascii="Times New Roman" w:hAnsi="Times New Roman" w:eastAsia="仿宋_GB2312"/>
          <w:sz w:val="32"/>
          <w:szCs w:val="32"/>
          <w:lang w:val="en-US" w:eastAsia="zh-CN"/>
        </w:rPr>
        <w:t>1年。</w:t>
      </w:r>
    </w:p>
    <w:p>
      <w:pPr>
        <w:spacing w:line="560" w:lineRule="exact"/>
        <w:ind w:firstLine="640"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Times New Roman" w:hAnsi="Times New Roman" w:eastAsia="黑体"/>
          <w:bCs/>
          <w:sz w:val="32"/>
          <w:szCs w:val="32"/>
          <w:lang w:eastAsia="zh-CN"/>
        </w:rPr>
        <w:t>六、</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成交方式</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采用综合评分法，资格要求审查合格，按得分由高到低顺序确定成交候选供应商；得分相同的，按投标报价由低到高顺序确定成交候选供应商；得分且投标报价相同的，按技术指标优劣顺序确定成交候选供应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696"/>
        <w:gridCol w:w="554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7" w:type="dxa"/>
            <w:gridSpan w:val="3"/>
            <w:shd w:val="clear" w:color="auto" w:fill="auto"/>
            <w:vAlign w:val="center"/>
          </w:tcPr>
          <w:p>
            <w:pPr>
              <w:widowControl/>
              <w:snapToGrid w:val="0"/>
              <w:jc w:val="center"/>
              <w:rPr>
                <w:color w:val="000000" w:themeColor="text1"/>
                <w:kern w:val="0"/>
                <w:sz w:val="28"/>
                <w:szCs w:val="28"/>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评标标准及因素</w:t>
            </w:r>
          </w:p>
        </w:tc>
        <w:tc>
          <w:tcPr>
            <w:tcW w:w="835" w:type="dxa"/>
            <w:shd w:val="clear" w:color="auto" w:fill="auto"/>
            <w:vAlign w:val="center"/>
          </w:tcPr>
          <w:p>
            <w:pPr>
              <w:widowControl/>
              <w:snapToGrid w:val="0"/>
              <w:jc w:val="center"/>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widowControl/>
              <w:snapToGrid w:val="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1</w:t>
            </w:r>
          </w:p>
        </w:tc>
        <w:tc>
          <w:tcPr>
            <w:tcW w:w="1696" w:type="dxa"/>
            <w:shd w:val="clear" w:color="auto" w:fill="auto"/>
            <w:vAlign w:val="center"/>
          </w:tcPr>
          <w:p>
            <w:pPr>
              <w:widowControl/>
              <w:snapToGrid w:val="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价格</w:t>
            </w:r>
          </w:p>
        </w:tc>
        <w:tc>
          <w:tcPr>
            <w:tcW w:w="5540" w:type="dxa"/>
            <w:shd w:val="clear" w:color="auto" w:fill="auto"/>
            <w:vAlign w:val="center"/>
          </w:tcPr>
          <w:p>
            <w:pPr>
              <w:widowControl/>
              <w:snapToGrid w:val="0"/>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（1）投标报价超过采购预算的，投标无效，未超过采购预算的投标报价按以下公式进行计算</w:t>
            </w:r>
          </w:p>
          <w:p>
            <w:pPr>
              <w:widowControl/>
              <w:snapToGrid w:val="0"/>
              <w:rPr>
                <w:rFonts w:hint="default" w:eastAsiaTheme="minor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14:textFill>
                  <w14:solidFill>
                    <w14:schemeClr w14:val="tx1"/>
                  </w14:solidFill>
                </w14:textFill>
              </w:rPr>
              <w:t>（2）投标报价得分=（评标基准价/投标报价）×</w:t>
            </w:r>
            <w:r>
              <w:rPr>
                <w:rFonts w:hint="eastAsia"/>
                <w:color w:val="000000" w:themeColor="text1"/>
                <w:kern w:val="0"/>
                <w:sz w:val="28"/>
                <w:szCs w:val="28"/>
                <w:lang w:val="en-US" w:eastAsia="zh-CN"/>
                <w14:textFill>
                  <w14:solidFill>
                    <w14:schemeClr w14:val="tx1"/>
                  </w14:solidFill>
                </w14:textFill>
              </w:rPr>
              <w:t>50</w:t>
            </w:r>
          </w:p>
          <w:p>
            <w:pPr>
              <w:widowControl/>
              <w:snapToGrid w:val="0"/>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注：满足</w:t>
            </w:r>
            <w:r>
              <w:rPr>
                <w:rFonts w:hint="eastAsia"/>
                <w:color w:val="000000" w:themeColor="text1"/>
                <w:kern w:val="0"/>
                <w:sz w:val="28"/>
                <w:szCs w:val="28"/>
                <w:lang w:eastAsia="zh-CN"/>
                <w14:textFill>
                  <w14:solidFill>
                    <w14:schemeClr w14:val="tx1"/>
                  </w14:solidFill>
                </w14:textFill>
              </w:rPr>
              <w:t>本项目需求书</w:t>
            </w:r>
            <w:r>
              <w:rPr>
                <w:rFonts w:hint="eastAsia"/>
                <w:color w:val="000000" w:themeColor="text1"/>
                <w:kern w:val="0"/>
                <w:sz w:val="28"/>
                <w:szCs w:val="28"/>
                <w14:textFill>
                  <w14:solidFill>
                    <w14:schemeClr w14:val="tx1"/>
                  </w14:solidFill>
                </w14:textFill>
              </w:rPr>
              <w:t>要求且投标报价最低的投标报价为评标基准价。</w:t>
            </w:r>
          </w:p>
        </w:tc>
        <w:tc>
          <w:tcPr>
            <w:tcW w:w="835" w:type="dxa"/>
            <w:shd w:val="clear" w:color="auto" w:fill="auto"/>
            <w:vAlign w:val="center"/>
          </w:tcPr>
          <w:p>
            <w:pPr>
              <w:widowControl/>
              <w:snapToGrid w:val="0"/>
              <w:jc w:val="center"/>
              <w:rPr>
                <w:color w:val="000000" w:themeColor="text1"/>
                <w:kern w:val="0"/>
                <w:sz w:val="28"/>
                <w:szCs w:val="28"/>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50</w:t>
            </w:r>
            <w:r>
              <w:rPr>
                <w:rFonts w:hint="eastAsia"/>
                <w:color w:val="000000" w:themeColor="text1"/>
                <w:kern w:val="0"/>
                <w:sz w:val="28"/>
                <w:szCs w:val="2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widowControl/>
              <w:snapToGrid w:val="0"/>
              <w:jc w:val="center"/>
              <w:rPr>
                <w:rFonts w:hint="eastAsia" w:eastAsiaTheme="minorEastAsia"/>
                <w:color w:val="000000" w:themeColor="text1"/>
                <w:kern w:val="0"/>
                <w:sz w:val="28"/>
                <w:szCs w:val="28"/>
                <w:lang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2</w:t>
            </w:r>
          </w:p>
        </w:tc>
        <w:tc>
          <w:tcPr>
            <w:tcW w:w="1696" w:type="dxa"/>
            <w:shd w:val="clear" w:color="auto" w:fill="auto"/>
            <w:vAlign w:val="center"/>
          </w:tcPr>
          <w:p>
            <w:pPr>
              <w:jc w:val="center"/>
              <w:rPr>
                <w:bCs/>
                <w:color w:val="000000" w:themeColor="text1"/>
                <w:sz w:val="28"/>
                <w:szCs w:val="24"/>
                <w14:textFill>
                  <w14:solidFill>
                    <w14:schemeClr w14:val="tx1"/>
                  </w14:solidFill>
                </w14:textFill>
              </w:rPr>
            </w:pPr>
            <w:r>
              <w:rPr>
                <w:rFonts w:hint="eastAsia"/>
                <w:color w:val="000000" w:themeColor="text1"/>
                <w:kern w:val="0"/>
                <w:sz w:val="28"/>
                <w:szCs w:val="28"/>
                <w14:textFill>
                  <w14:solidFill>
                    <w14:schemeClr w14:val="tx1"/>
                  </w14:solidFill>
                </w14:textFill>
              </w:rPr>
              <w:t>供应商履约能力</w:t>
            </w:r>
          </w:p>
        </w:tc>
        <w:tc>
          <w:tcPr>
            <w:tcW w:w="5540" w:type="dxa"/>
            <w:shd w:val="clear" w:color="auto" w:fill="auto"/>
            <w:vAlign w:val="center"/>
          </w:tcPr>
          <w:p>
            <w:pPr>
              <w:widowControl/>
              <w:snapToGrid w:val="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lang w:eastAsia="zh-CN"/>
                <w14:textFill>
                  <w14:solidFill>
                    <w14:schemeClr w14:val="tx1"/>
                  </w14:solidFill>
                </w14:textFill>
              </w:rPr>
              <w:t>按照以</w:t>
            </w:r>
            <w:r>
              <w:rPr>
                <w:rFonts w:hint="eastAsia"/>
                <w:color w:val="000000" w:themeColor="text1"/>
                <w:kern w:val="0"/>
                <w:sz w:val="28"/>
                <w:szCs w:val="28"/>
                <w14:textFill>
                  <w14:solidFill>
                    <w14:schemeClr w14:val="tx1"/>
                  </w14:solidFill>
                </w14:textFill>
              </w:rPr>
              <w:t>下要求提供</w:t>
            </w:r>
            <w:r>
              <w:rPr>
                <w:rFonts w:hint="eastAsia"/>
                <w:color w:val="000000" w:themeColor="text1"/>
                <w:kern w:val="0"/>
                <w:sz w:val="28"/>
                <w:szCs w:val="28"/>
                <w:lang w:eastAsia="zh-CN"/>
                <w14:textFill>
                  <w14:solidFill>
                    <w14:schemeClr w14:val="tx1"/>
                  </w14:solidFill>
                </w14:textFill>
              </w:rPr>
              <w:t>电梯维保</w:t>
            </w:r>
            <w:r>
              <w:rPr>
                <w:rFonts w:hint="eastAsia"/>
                <w:color w:val="000000" w:themeColor="text1"/>
                <w:kern w:val="0"/>
                <w:sz w:val="28"/>
                <w:szCs w:val="28"/>
                <w14:textFill>
                  <w14:solidFill>
                    <w14:schemeClr w14:val="tx1"/>
                  </w14:solidFill>
                </w14:textFill>
              </w:rPr>
              <w:t>的业绩，提供的证明材料均不得遮挡涂黑，否则不予认定加分。具体要求如下：</w:t>
            </w:r>
          </w:p>
          <w:p>
            <w:pPr>
              <w:widowControl/>
              <w:snapToGrid w:val="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A. 合同扫描件，包括合同金额、买卖双方名称及盖章、服务内容、合同签订时间（应为20</w:t>
            </w:r>
            <w:r>
              <w:rPr>
                <w:rFonts w:hint="eastAsia"/>
                <w:color w:val="000000" w:themeColor="text1"/>
                <w:kern w:val="0"/>
                <w:sz w:val="28"/>
                <w:szCs w:val="28"/>
                <w:lang w:val="en-US" w:eastAsia="zh-CN"/>
                <w14:textFill>
                  <w14:solidFill>
                    <w14:schemeClr w14:val="tx1"/>
                  </w14:solidFill>
                </w14:textFill>
              </w:rPr>
              <w:t>22</w:t>
            </w:r>
            <w:r>
              <w:rPr>
                <w:rFonts w:hint="eastAsia"/>
                <w:color w:val="000000" w:themeColor="text1"/>
                <w:kern w:val="0"/>
                <w:sz w:val="28"/>
                <w:szCs w:val="28"/>
                <w14:textFill>
                  <w14:solidFill>
                    <w14:schemeClr w14:val="tx1"/>
                  </w14:solidFill>
                </w14:textFill>
              </w:rPr>
              <w:t>年1月1日或以后）。</w:t>
            </w:r>
          </w:p>
          <w:p>
            <w:pPr>
              <w:widowControl/>
              <w:snapToGrid w:val="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B. 上述合同履行良好的相关证明材料原件扫描件（加盖上述合同甲方单位公章或上述合同中所盖的甲方印章）。</w:t>
            </w:r>
          </w:p>
          <w:p>
            <w:pPr>
              <w:widowControl/>
              <w:snapToGrid w:val="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每个业绩</w:t>
            </w:r>
            <w:r>
              <w:rPr>
                <w:rFonts w:hint="eastAsia"/>
                <w:color w:val="000000" w:themeColor="text1"/>
                <w:kern w:val="0"/>
                <w:sz w:val="28"/>
                <w:szCs w:val="28"/>
                <w:lang w:val="en-US" w:eastAsia="zh-CN"/>
                <w14:textFill>
                  <w14:solidFill>
                    <w14:schemeClr w14:val="tx1"/>
                  </w14:solidFill>
                </w14:textFill>
              </w:rPr>
              <w:t>5</w:t>
            </w:r>
            <w:r>
              <w:rPr>
                <w:rFonts w:hint="eastAsia"/>
                <w:color w:val="000000" w:themeColor="text1"/>
                <w:kern w:val="0"/>
                <w:sz w:val="28"/>
                <w:szCs w:val="28"/>
                <w14:textFill>
                  <w14:solidFill>
                    <w14:schemeClr w14:val="tx1"/>
                  </w14:solidFill>
                </w14:textFill>
              </w:rPr>
              <w:t>分，最多</w:t>
            </w:r>
            <w:r>
              <w:rPr>
                <w:rFonts w:hint="eastAsia"/>
                <w:color w:val="000000" w:themeColor="text1"/>
                <w:kern w:val="0"/>
                <w:sz w:val="28"/>
                <w:szCs w:val="28"/>
                <w:lang w:val="en-US" w:eastAsia="zh-CN"/>
                <w14:textFill>
                  <w14:solidFill>
                    <w14:schemeClr w14:val="tx1"/>
                  </w14:solidFill>
                </w14:textFill>
              </w:rPr>
              <w:t>10</w:t>
            </w:r>
            <w:r>
              <w:rPr>
                <w:rFonts w:hint="eastAsia"/>
                <w:color w:val="000000" w:themeColor="text1"/>
                <w:kern w:val="0"/>
                <w:sz w:val="28"/>
                <w:szCs w:val="28"/>
                <w14:textFill>
                  <w14:solidFill>
                    <w14:schemeClr w14:val="tx1"/>
                  </w14:solidFill>
                </w14:textFill>
              </w:rPr>
              <w:t>分</w:t>
            </w:r>
          </w:p>
          <w:p>
            <w:pPr>
              <w:widowControl/>
              <w:snapToGrid w:val="0"/>
              <w:rPr>
                <w:rFonts w:hint="default"/>
                <w:color w:val="000000" w:themeColor="text1"/>
                <w:kern w:val="0"/>
                <w:sz w:val="28"/>
                <w:szCs w:val="28"/>
                <w:lang w:val="en-US" w:eastAsia="zh-CN"/>
                <w14:textFill>
                  <w14:solidFill>
                    <w14:schemeClr w14:val="tx1"/>
                  </w14:solidFill>
                </w14:textFill>
              </w:rPr>
            </w:pPr>
            <w:r>
              <w:rPr>
                <w:rFonts w:hint="eastAsia"/>
                <w:b/>
                <w:bCs/>
                <w:color w:val="000000" w:themeColor="text1"/>
                <w:kern w:val="0"/>
                <w:sz w:val="28"/>
                <w:szCs w:val="28"/>
                <w:lang w:eastAsia="zh-CN"/>
                <w14:textFill>
                  <w14:solidFill>
                    <w14:schemeClr w14:val="tx1"/>
                  </w14:solidFill>
                </w14:textFill>
              </w:rPr>
              <w:t>注：</w:t>
            </w:r>
            <w:r>
              <w:rPr>
                <w:rFonts w:hint="eastAsia"/>
                <w:b/>
                <w:bCs/>
                <w:color w:val="000000" w:themeColor="text1"/>
                <w:kern w:val="0"/>
                <w:sz w:val="28"/>
                <w:szCs w:val="28"/>
                <w:lang w:val="en-US" w:eastAsia="zh-CN"/>
                <w14:textFill>
                  <w14:solidFill>
                    <w14:schemeClr w14:val="tx1"/>
                  </w14:solidFill>
                </w14:textFill>
              </w:rPr>
              <w:t>A、B两项须同时提供才能得分。</w:t>
            </w:r>
          </w:p>
        </w:tc>
        <w:tc>
          <w:tcPr>
            <w:tcW w:w="835" w:type="dxa"/>
            <w:shd w:val="clear" w:color="auto" w:fill="auto"/>
            <w:vAlign w:val="center"/>
          </w:tcPr>
          <w:p>
            <w:pPr>
              <w:widowControl/>
              <w:snapToGrid w:val="0"/>
              <w:jc w:val="center"/>
              <w:rPr>
                <w:rFonts w:hint="eastAsia" w:eastAsiaTheme="minor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3</w:t>
            </w:r>
          </w:p>
        </w:tc>
        <w:tc>
          <w:tcPr>
            <w:tcW w:w="1696" w:type="dxa"/>
            <w:shd w:val="clear" w:color="auto" w:fill="auto"/>
            <w:vAlign w:val="center"/>
          </w:tcPr>
          <w:p>
            <w:pPr>
              <w:jc w:val="center"/>
              <w:rPr>
                <w:rFonts w:hint="eastAsia" w:eastAsiaTheme="minorEastAsia"/>
                <w:color w:val="000000" w:themeColor="text1"/>
                <w:kern w:val="0"/>
                <w:sz w:val="28"/>
                <w:szCs w:val="28"/>
                <w:lang w:eastAsia="zh-CN"/>
                <w14:textFill>
                  <w14:solidFill>
                    <w14:schemeClr w14:val="tx1"/>
                  </w14:solidFill>
                </w14:textFill>
              </w:rPr>
            </w:pPr>
            <w:r>
              <w:rPr>
                <w:rFonts w:hint="eastAsia"/>
                <w:color w:val="000000" w:themeColor="text1"/>
                <w:kern w:val="0"/>
                <w:sz w:val="28"/>
                <w:szCs w:val="28"/>
                <w:lang w:eastAsia="zh-CN"/>
                <w14:textFill>
                  <w14:solidFill>
                    <w14:schemeClr w14:val="tx1"/>
                  </w14:solidFill>
                </w14:textFill>
              </w:rPr>
              <w:t>投标人资质评价</w:t>
            </w:r>
          </w:p>
        </w:tc>
        <w:tc>
          <w:tcPr>
            <w:tcW w:w="5540" w:type="dxa"/>
            <w:shd w:val="clear" w:color="auto" w:fill="auto"/>
            <w:vAlign w:val="center"/>
          </w:tcPr>
          <w:p>
            <w:pPr>
              <w:snapToGrid w:val="0"/>
              <w:rPr>
                <w:rFonts w:hint="eastAsia"/>
                <w:bCs/>
                <w:color w:val="000000" w:themeColor="text1"/>
                <w:sz w:val="28"/>
                <w:szCs w:val="24"/>
                <w14:textFill>
                  <w14:solidFill>
                    <w14:schemeClr w14:val="tx1"/>
                  </w14:solidFill>
                </w14:textFill>
              </w:rPr>
            </w:pPr>
            <w:r>
              <w:rPr>
                <w:rFonts w:hint="eastAsia"/>
                <w:bCs/>
                <w:color w:val="000000" w:themeColor="text1"/>
                <w:sz w:val="28"/>
                <w:szCs w:val="24"/>
                <w:lang w:val="en-US" w:eastAsia="zh-CN"/>
                <w14:textFill>
                  <w14:solidFill>
                    <w14:schemeClr w14:val="tx1"/>
                  </w14:solidFill>
                </w14:textFill>
              </w:rPr>
              <w:t>投标人具备质量管理体系认证、环境管理体系认证、职业健康安全管理体系认证，提供证书</w:t>
            </w:r>
            <w:r>
              <w:rPr>
                <w:rFonts w:hint="eastAsia"/>
                <w:bCs/>
                <w:color w:val="000000" w:themeColor="text1"/>
                <w:sz w:val="28"/>
                <w:szCs w:val="24"/>
                <w:lang w:eastAsia="zh-CN"/>
                <w14:textFill>
                  <w14:solidFill>
                    <w14:schemeClr w14:val="tx1"/>
                  </w14:solidFill>
                </w14:textFill>
              </w:rPr>
              <w:t>复印件并加盖投标人单位公章</w:t>
            </w:r>
            <w:r>
              <w:rPr>
                <w:rFonts w:hint="eastAsia"/>
                <w:bCs/>
                <w:color w:val="000000" w:themeColor="text1"/>
                <w:sz w:val="28"/>
                <w:szCs w:val="24"/>
                <w:lang w:val="en-US" w:eastAsia="zh-CN"/>
                <w14:textFill>
                  <w14:solidFill>
                    <w14:schemeClr w14:val="tx1"/>
                  </w14:solidFill>
                </w14:textFill>
              </w:rPr>
              <w:t xml:space="preserve">。 </w:t>
            </w:r>
          </w:p>
          <w:p>
            <w:pPr>
              <w:snapToGrid w:val="0"/>
              <w:rPr>
                <w:rFonts w:hint="eastAsia"/>
                <w:bCs/>
                <w:color w:val="000000" w:themeColor="text1"/>
                <w:sz w:val="28"/>
                <w:szCs w:val="24"/>
                <w14:textFill>
                  <w14:solidFill>
                    <w14:schemeClr w14:val="tx1"/>
                  </w14:solidFill>
                </w14:textFill>
              </w:rPr>
            </w:pPr>
            <w:r>
              <w:rPr>
                <w:rFonts w:hint="eastAsia"/>
                <w:bCs/>
                <w:color w:val="000000" w:themeColor="text1"/>
                <w:sz w:val="28"/>
                <w:szCs w:val="24"/>
                <w:lang w:val="en-US" w:eastAsia="zh-CN"/>
                <w14:textFill>
                  <w14:solidFill>
                    <w14:schemeClr w14:val="tx1"/>
                  </w14:solidFill>
                </w14:textFill>
              </w:rPr>
              <w:t>提供</w:t>
            </w:r>
            <w:r>
              <w:rPr>
                <w:rFonts w:hint="default"/>
                <w:bCs/>
                <w:color w:val="000000" w:themeColor="text1"/>
                <w:sz w:val="28"/>
                <w:szCs w:val="24"/>
                <w:lang w:val="en-US" w:eastAsia="zh-CN"/>
                <w14:textFill>
                  <w14:solidFill>
                    <w14:schemeClr w14:val="tx1"/>
                  </w14:solidFill>
                </w14:textFill>
              </w:rPr>
              <w:t>1</w:t>
            </w:r>
            <w:r>
              <w:rPr>
                <w:rFonts w:hint="eastAsia"/>
                <w:bCs/>
                <w:color w:val="000000" w:themeColor="text1"/>
                <w:sz w:val="28"/>
                <w:szCs w:val="24"/>
                <w:lang w:val="en-US" w:eastAsia="zh-CN"/>
                <w14:textFill>
                  <w14:solidFill>
                    <w14:schemeClr w14:val="tx1"/>
                  </w14:solidFill>
                </w14:textFill>
              </w:rPr>
              <w:t xml:space="preserve">个证书得5分，最高10分 </w:t>
            </w:r>
          </w:p>
        </w:tc>
        <w:tc>
          <w:tcPr>
            <w:tcW w:w="835" w:type="dxa"/>
            <w:shd w:val="clear" w:color="auto" w:fill="auto"/>
            <w:vAlign w:val="center"/>
          </w:tcPr>
          <w:p>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4</w:t>
            </w:r>
          </w:p>
        </w:tc>
        <w:tc>
          <w:tcPr>
            <w:tcW w:w="1696" w:type="dxa"/>
            <w:shd w:val="clear" w:color="auto" w:fill="auto"/>
            <w:vAlign w:val="center"/>
          </w:tcPr>
          <w:p>
            <w:pPr>
              <w:jc w:val="center"/>
              <w:rPr>
                <w:rFonts w:hint="eastAsia"/>
                <w:color w:val="000000" w:themeColor="text1"/>
                <w:kern w:val="0"/>
                <w:sz w:val="28"/>
                <w:szCs w:val="28"/>
                <w:lang w:eastAsia="zh-CN"/>
                <w14:textFill>
                  <w14:solidFill>
                    <w14:schemeClr w14:val="tx1"/>
                  </w14:solidFill>
                </w14:textFill>
              </w:rPr>
            </w:pPr>
            <w:r>
              <w:rPr>
                <w:rFonts w:hint="eastAsia"/>
                <w:color w:val="000000" w:themeColor="text1"/>
                <w:kern w:val="0"/>
                <w:sz w:val="28"/>
                <w:szCs w:val="28"/>
                <w:lang w:eastAsia="zh-CN"/>
                <w14:textFill>
                  <w14:solidFill>
                    <w14:schemeClr w14:val="tx1"/>
                  </w14:solidFill>
                </w14:textFill>
              </w:rPr>
              <w:t>维保人员评价</w:t>
            </w:r>
          </w:p>
        </w:tc>
        <w:tc>
          <w:tcPr>
            <w:tcW w:w="5540" w:type="dxa"/>
            <w:shd w:val="clear" w:color="auto" w:fill="auto"/>
            <w:vAlign w:val="center"/>
          </w:tcPr>
          <w:p>
            <w:pPr>
              <w:snapToGrid w:val="0"/>
              <w:rPr>
                <w:rFonts w:hint="eastAsia"/>
                <w:bCs/>
                <w:color w:val="000000" w:themeColor="text1"/>
                <w:sz w:val="28"/>
                <w:szCs w:val="24"/>
                <w:lang w:val="en-US" w:eastAsia="zh-CN"/>
                <w14:textFill>
                  <w14:solidFill>
                    <w14:schemeClr w14:val="tx1"/>
                  </w14:solidFill>
                </w14:textFill>
              </w:rPr>
            </w:pPr>
            <w:r>
              <w:rPr>
                <w:rFonts w:hint="eastAsia"/>
                <w:bCs/>
                <w:color w:val="000000" w:themeColor="text1"/>
                <w:sz w:val="28"/>
                <w:szCs w:val="24"/>
                <w:lang w:val="en-US" w:eastAsia="zh-CN"/>
                <w14:textFill>
                  <w14:solidFill>
                    <w14:schemeClr w14:val="tx1"/>
                  </w14:solidFill>
                </w14:textFill>
              </w:rPr>
              <w:t xml:space="preserve">为本项目配备的维保人员须持有《中华人民共和国特种设备安全管理和作业人员证（电梯修理T）》证书，提供证书复印件并加盖投标人单位公章。 </w:t>
            </w:r>
          </w:p>
          <w:p>
            <w:pPr>
              <w:snapToGrid w:val="0"/>
              <w:rPr>
                <w:rFonts w:hint="default"/>
                <w:lang w:val="en-US" w:eastAsia="zh-CN"/>
              </w:rPr>
            </w:pPr>
            <w:r>
              <w:rPr>
                <w:rFonts w:hint="eastAsia"/>
                <w:bCs/>
                <w:color w:val="000000" w:themeColor="text1"/>
                <w:sz w:val="28"/>
                <w:szCs w:val="24"/>
                <w:lang w:val="en-US" w:eastAsia="zh-CN"/>
                <w14:textFill>
                  <w14:solidFill>
                    <w14:schemeClr w14:val="tx1"/>
                  </w14:solidFill>
                </w14:textFill>
              </w:rPr>
              <w:t>提供1份证书得5分，最高10分</w:t>
            </w:r>
          </w:p>
        </w:tc>
        <w:tc>
          <w:tcPr>
            <w:tcW w:w="835" w:type="dxa"/>
            <w:shd w:val="clear" w:color="auto" w:fill="auto"/>
            <w:vAlign w:val="center"/>
          </w:tcPr>
          <w:p>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shd w:val="clear" w:color="auto" w:fill="auto"/>
            <w:vAlign w:val="center"/>
          </w:tcPr>
          <w:p>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5</w:t>
            </w:r>
          </w:p>
        </w:tc>
        <w:tc>
          <w:tcPr>
            <w:tcW w:w="1696" w:type="dxa"/>
            <w:shd w:val="clear" w:color="auto" w:fill="auto"/>
            <w:vAlign w:val="center"/>
          </w:tcPr>
          <w:p>
            <w:pPr>
              <w:snapToGrid w:val="0"/>
              <w:rPr>
                <w:rFonts w:hint="eastAsia"/>
                <w:bCs/>
                <w:color w:val="000000" w:themeColor="text1"/>
                <w:sz w:val="28"/>
                <w:szCs w:val="24"/>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投标人承诺评价</w:t>
            </w:r>
          </w:p>
        </w:tc>
        <w:tc>
          <w:tcPr>
            <w:tcW w:w="5540" w:type="dxa"/>
            <w:shd w:val="clear" w:color="auto" w:fill="auto"/>
            <w:vAlign w:val="center"/>
          </w:tcPr>
          <w:p>
            <w:pPr>
              <w:snapToGrid w:val="0"/>
              <w:rPr>
                <w:rFonts w:hint="eastAsia"/>
                <w:bCs/>
                <w:color w:val="000000" w:themeColor="text1"/>
                <w:sz w:val="28"/>
                <w:szCs w:val="24"/>
                <w:lang w:val="en-US" w:eastAsia="zh-CN"/>
                <w14:textFill>
                  <w14:solidFill>
                    <w14:schemeClr w14:val="tx1"/>
                  </w14:solidFill>
                </w14:textFill>
              </w:rPr>
            </w:pPr>
            <w:r>
              <w:rPr>
                <w:rFonts w:hint="eastAsia"/>
                <w:bCs/>
                <w:color w:val="000000" w:themeColor="text1"/>
                <w:sz w:val="28"/>
                <w:szCs w:val="24"/>
                <w:lang w:val="en-US" w:eastAsia="zh-CN"/>
                <w14:textFill>
                  <w14:solidFill>
                    <w14:schemeClr w14:val="tx1"/>
                  </w14:solidFill>
                </w14:textFill>
              </w:rPr>
              <w:t>承诺完全满足项目需求书“服务要求”、“技术要求”、“结算方式”要求的：10分，其他0分。</w:t>
            </w:r>
          </w:p>
        </w:tc>
        <w:tc>
          <w:tcPr>
            <w:tcW w:w="835" w:type="dxa"/>
            <w:shd w:val="clear" w:color="auto" w:fill="auto"/>
            <w:vAlign w:val="center"/>
          </w:tcPr>
          <w:p>
            <w:pPr>
              <w:snapToGrid w:val="0"/>
              <w:jc w:val="center"/>
              <w:rPr>
                <w:rFonts w:hint="eastAsia"/>
                <w:bCs/>
                <w:color w:val="000000" w:themeColor="text1"/>
                <w:sz w:val="28"/>
                <w:szCs w:val="24"/>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shd w:val="clear" w:color="auto" w:fill="auto"/>
            <w:vAlign w:val="center"/>
          </w:tcPr>
          <w:p>
            <w:pPr>
              <w:widowControl/>
              <w:snapToGrid w:val="0"/>
              <w:jc w:val="center"/>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6</w:t>
            </w:r>
          </w:p>
        </w:tc>
        <w:tc>
          <w:tcPr>
            <w:tcW w:w="1696" w:type="dxa"/>
            <w:shd w:val="clear" w:color="auto" w:fill="auto"/>
            <w:vAlign w:val="center"/>
          </w:tcPr>
          <w:p>
            <w:pPr>
              <w:widowControl/>
              <w:snapToGrid w:val="0"/>
              <w:jc w:val="center"/>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整体运行维护方案评价</w:t>
            </w:r>
          </w:p>
        </w:tc>
        <w:tc>
          <w:tcPr>
            <w:tcW w:w="5540" w:type="dxa"/>
            <w:shd w:val="clear" w:color="auto" w:fill="auto"/>
            <w:vAlign w:val="center"/>
          </w:tcPr>
          <w:p>
            <w:pPr>
              <w:widowControl/>
              <w:snapToGrid w:val="0"/>
              <w:jc w:val="left"/>
              <w:rPr>
                <w:rFonts w:hint="eastAsia"/>
                <w:color w:val="000000" w:themeColor="text1"/>
                <w:kern w:val="0"/>
                <w:sz w:val="28"/>
                <w:szCs w:val="28"/>
                <w:lang w:val="zh-CN"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至少包含针对本项目的运维计划、故障管理处理、突发事件处理、作业安全管理等方面内容。</w:t>
            </w:r>
          </w:p>
          <w:p>
            <w:pPr>
              <w:widowControl/>
              <w:snapToGrid w:val="0"/>
              <w:jc w:val="left"/>
              <w:rPr>
                <w:rFonts w:hint="eastAsia"/>
                <w:color w:val="000000" w:themeColor="text1"/>
                <w:kern w:val="0"/>
                <w:sz w:val="28"/>
                <w:szCs w:val="28"/>
                <w:lang w:val="zh-CN"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满足项目需求书要求，方案内容</w:t>
            </w:r>
            <w:r>
              <w:rPr>
                <w:rFonts w:hint="eastAsia"/>
                <w:color w:val="000000" w:themeColor="text1"/>
                <w:kern w:val="0"/>
                <w:sz w:val="28"/>
                <w:szCs w:val="28"/>
                <w:lang w:val="en-US" w:eastAsia="zh-CN"/>
                <w14:textFill>
                  <w14:solidFill>
                    <w14:schemeClr w14:val="tx1"/>
                  </w14:solidFill>
                </w14:textFill>
              </w:rPr>
              <w:t>具体、完整，可行性强的</w:t>
            </w:r>
            <w:r>
              <w:rPr>
                <w:rFonts w:hint="eastAsia"/>
                <w:color w:val="000000" w:themeColor="text1"/>
                <w:kern w:val="0"/>
                <w:sz w:val="28"/>
                <w:szCs w:val="28"/>
                <w:lang w:val="zh-CN" w:eastAsia="zh-CN"/>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10</w:t>
            </w:r>
            <w:r>
              <w:rPr>
                <w:rFonts w:hint="eastAsia"/>
                <w:color w:val="000000" w:themeColor="text1"/>
                <w:kern w:val="0"/>
                <w:sz w:val="28"/>
                <w:szCs w:val="28"/>
                <w:lang w:val="zh-CN" w:eastAsia="zh-CN"/>
                <w14:textFill>
                  <w14:solidFill>
                    <w14:schemeClr w14:val="tx1"/>
                  </w14:solidFill>
                </w14:textFill>
              </w:rPr>
              <w:t>分；</w:t>
            </w:r>
          </w:p>
          <w:p>
            <w:pPr>
              <w:widowControl/>
              <w:snapToGrid w:val="0"/>
              <w:jc w:val="left"/>
              <w:rPr>
                <w:rFonts w:hint="eastAsia"/>
                <w:color w:val="000000" w:themeColor="text1"/>
                <w:kern w:val="0"/>
                <w:sz w:val="28"/>
                <w:szCs w:val="28"/>
                <w:lang w:val="zh-CN"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方案内容</w:t>
            </w:r>
            <w:r>
              <w:rPr>
                <w:rFonts w:hint="eastAsia"/>
                <w:color w:val="000000" w:themeColor="text1"/>
                <w:kern w:val="0"/>
                <w:sz w:val="28"/>
                <w:szCs w:val="28"/>
                <w:lang w:val="en-US" w:eastAsia="zh-CN"/>
                <w14:textFill>
                  <w14:solidFill>
                    <w14:schemeClr w14:val="tx1"/>
                  </w14:solidFill>
                </w14:textFill>
              </w:rPr>
              <w:t>较具体、完整，可行性较好</w:t>
            </w:r>
            <w:r>
              <w:rPr>
                <w:rFonts w:hint="eastAsia"/>
                <w:color w:val="000000" w:themeColor="text1"/>
                <w:kern w:val="0"/>
                <w:sz w:val="28"/>
                <w:szCs w:val="28"/>
                <w:lang w:val="zh-CN" w:eastAsia="zh-CN"/>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7</w:t>
            </w:r>
            <w:r>
              <w:rPr>
                <w:rFonts w:hint="eastAsia"/>
                <w:color w:val="000000" w:themeColor="text1"/>
                <w:kern w:val="0"/>
                <w:sz w:val="28"/>
                <w:szCs w:val="28"/>
                <w:lang w:val="zh-CN" w:eastAsia="zh-CN"/>
                <w14:textFill>
                  <w14:solidFill>
                    <w14:schemeClr w14:val="tx1"/>
                  </w14:solidFill>
                </w14:textFill>
              </w:rPr>
              <w:t>分；</w:t>
            </w:r>
          </w:p>
          <w:p>
            <w:pPr>
              <w:widowControl/>
              <w:snapToGrid w:val="0"/>
              <w:jc w:val="left"/>
              <w:rPr>
                <w:rFonts w:hint="eastAsia"/>
                <w:color w:val="000000" w:themeColor="text1"/>
                <w:kern w:val="0"/>
                <w:sz w:val="28"/>
                <w:szCs w:val="28"/>
                <w:lang w:val="zh-CN"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方案内容</w:t>
            </w:r>
            <w:r>
              <w:rPr>
                <w:rFonts w:hint="eastAsia"/>
                <w:color w:val="000000" w:themeColor="text1"/>
                <w:kern w:val="0"/>
                <w:sz w:val="28"/>
                <w:szCs w:val="28"/>
                <w:lang w:val="en-US" w:eastAsia="zh-CN"/>
                <w14:textFill>
                  <w14:solidFill>
                    <w14:schemeClr w14:val="tx1"/>
                  </w14:solidFill>
                </w14:textFill>
              </w:rPr>
              <w:t>简单，可行性一般</w:t>
            </w:r>
            <w:r>
              <w:rPr>
                <w:rFonts w:hint="eastAsia"/>
                <w:color w:val="000000" w:themeColor="text1"/>
                <w:kern w:val="0"/>
                <w:sz w:val="28"/>
                <w:szCs w:val="28"/>
                <w:lang w:val="zh-CN" w:eastAsia="zh-CN"/>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4</w:t>
            </w:r>
            <w:r>
              <w:rPr>
                <w:rFonts w:hint="eastAsia"/>
                <w:color w:val="000000" w:themeColor="text1"/>
                <w:kern w:val="0"/>
                <w:sz w:val="28"/>
                <w:szCs w:val="28"/>
                <w:lang w:val="zh-CN" w:eastAsia="zh-CN"/>
                <w14:textFill>
                  <w14:solidFill>
                    <w14:schemeClr w14:val="tx1"/>
                  </w14:solidFill>
                </w14:textFill>
              </w:rPr>
              <w:t>分；</w:t>
            </w:r>
          </w:p>
          <w:p>
            <w:pPr>
              <w:widowControl/>
              <w:snapToGrid w:val="0"/>
              <w:jc w:val="left"/>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未提供方案或不满足项目需求书要求：0分。</w:t>
            </w:r>
          </w:p>
        </w:tc>
        <w:tc>
          <w:tcPr>
            <w:tcW w:w="835" w:type="dxa"/>
            <w:shd w:val="clear" w:color="auto" w:fill="auto"/>
            <w:vAlign w:val="center"/>
          </w:tcPr>
          <w:p>
            <w:pPr>
              <w:widowControl/>
              <w:snapToGrid w:val="0"/>
              <w:jc w:val="center"/>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bl>
    <w:p>
      <w:pPr>
        <w:numPr>
          <w:ilvl w:val="0"/>
          <w:numId w:val="0"/>
        </w:numPr>
        <w:spacing w:line="530" w:lineRule="exact"/>
        <w:rPr>
          <w:rFonts w:hint="eastAsia" w:ascii="Times New Roman" w:hAnsi="Times New Roman" w:eastAsia="黑体"/>
          <w:bCs/>
          <w:sz w:val="32"/>
          <w:szCs w:val="32"/>
          <w:lang w:eastAsia="zh-CN"/>
        </w:rPr>
      </w:pPr>
      <w:r>
        <w:rPr>
          <w:rFonts w:hint="eastAsia" w:ascii="Times New Roman" w:hAnsi="Times New Roman" w:eastAsia="黑体"/>
          <w:bCs/>
          <w:sz w:val="32"/>
          <w:szCs w:val="32"/>
          <w:lang w:eastAsia="zh-CN"/>
        </w:rPr>
        <w:t>七、技术要求</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992"/>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直梯部分</w:t>
            </w:r>
          </w:p>
        </w:tc>
        <w:tc>
          <w:tcPr>
            <w:tcW w:w="7386" w:type="dxa"/>
            <w:gridSpan w:val="2"/>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维保内容：见附件一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vAlign w:val="center"/>
          </w:tcPr>
          <w:p>
            <w:pPr>
              <w:jc w:val="center"/>
              <w:rPr>
                <w:rFonts w:hint="eastAsia" w:ascii="仿宋_GB2312" w:hAnsi="仿宋_GB2312" w:eastAsia="仿宋_GB2312" w:cs="仿宋_GB2312"/>
                <w:sz w:val="28"/>
                <w:szCs w:val="28"/>
              </w:rPr>
            </w:pPr>
          </w:p>
        </w:tc>
        <w:tc>
          <w:tcPr>
            <w:tcW w:w="2992"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梯型：GEN2</w:t>
            </w:r>
          </w:p>
        </w:tc>
        <w:tc>
          <w:tcPr>
            <w:tcW w:w="4394"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层/高度（M）：4/4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vAlign w:val="center"/>
          </w:tcPr>
          <w:p>
            <w:pPr>
              <w:jc w:val="center"/>
              <w:rPr>
                <w:rFonts w:hint="eastAsia" w:ascii="仿宋_GB2312" w:hAnsi="仿宋_GB2312" w:eastAsia="仿宋_GB2312" w:cs="仿宋_GB2312"/>
                <w:sz w:val="28"/>
                <w:szCs w:val="28"/>
              </w:rPr>
            </w:pPr>
          </w:p>
        </w:tc>
        <w:tc>
          <w:tcPr>
            <w:tcW w:w="2992"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载重（KG）:1000</w:t>
            </w:r>
          </w:p>
        </w:tc>
        <w:tc>
          <w:tcPr>
            <w:tcW w:w="4394"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直梯数量：4台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扶梯部分</w:t>
            </w:r>
          </w:p>
        </w:tc>
        <w:tc>
          <w:tcPr>
            <w:tcW w:w="7386" w:type="dxa"/>
            <w:gridSpan w:val="2"/>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维保内容：见附件二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Pr>
          <w:p>
            <w:pPr>
              <w:jc w:val="left"/>
              <w:rPr>
                <w:rFonts w:hint="eastAsia" w:ascii="仿宋_GB2312" w:hAnsi="仿宋_GB2312" w:eastAsia="仿宋_GB2312" w:cs="仿宋_GB2312"/>
                <w:sz w:val="28"/>
                <w:szCs w:val="28"/>
              </w:rPr>
            </w:pPr>
          </w:p>
        </w:tc>
        <w:tc>
          <w:tcPr>
            <w:tcW w:w="2992" w:type="dxa"/>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梯型：迅达扶梯（9300-10-FN-30-100-K-R）</w:t>
            </w:r>
          </w:p>
        </w:tc>
        <w:tc>
          <w:tcPr>
            <w:tcW w:w="4394"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梯级宽度（MM）:1000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Pr>
          <w:p>
            <w:pPr>
              <w:jc w:val="left"/>
              <w:rPr>
                <w:rFonts w:hint="eastAsia" w:ascii="仿宋_GB2312" w:hAnsi="仿宋_GB2312" w:eastAsia="仿宋_GB2312" w:cs="仿宋_GB2312"/>
                <w:sz w:val="28"/>
                <w:szCs w:val="28"/>
              </w:rPr>
            </w:pPr>
          </w:p>
        </w:tc>
        <w:tc>
          <w:tcPr>
            <w:tcW w:w="2992"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速度（M/S）:0.5</w:t>
            </w:r>
          </w:p>
        </w:tc>
        <w:tc>
          <w:tcPr>
            <w:tcW w:w="4394"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扶梯数量：4台</w:t>
            </w:r>
          </w:p>
        </w:tc>
      </w:tr>
    </w:tbl>
    <w:p>
      <w:pPr>
        <w:spacing w:line="360" w:lineRule="auto"/>
        <w:rPr>
          <w:rFonts w:ascii="宋体" w:hAnsi="宋体"/>
          <w:b/>
          <w:sz w:val="24"/>
        </w:rPr>
      </w:pPr>
      <w:r>
        <w:rPr>
          <w:rFonts w:ascii="宋体" w:hAnsi="宋体"/>
          <w:b/>
          <w:sz w:val="24"/>
        </w:rPr>
        <w:t>附件</w:t>
      </w:r>
      <w:r>
        <w:rPr>
          <w:rFonts w:hint="eastAsia" w:ascii="宋体" w:hAnsi="宋体"/>
          <w:b/>
          <w:sz w:val="24"/>
        </w:rPr>
        <w:t>一（直梯部分）</w:t>
      </w:r>
    </w:p>
    <w:p>
      <w:pPr>
        <w:spacing w:line="260" w:lineRule="exact"/>
        <w:jc w:val="center"/>
        <w:rPr>
          <w:rFonts w:ascii="宋体" w:hAnsi="宋体"/>
          <w:sz w:val="24"/>
        </w:rPr>
      </w:pPr>
      <w:r>
        <w:rPr>
          <w:rFonts w:hint="eastAsia" w:ascii="宋体" w:hAnsi="宋体"/>
          <w:sz w:val="24"/>
        </w:rPr>
        <w:t>电梯日常维护保养项目（内容）和要求</w:t>
      </w:r>
    </w:p>
    <w:p>
      <w:pPr>
        <w:spacing w:line="260" w:lineRule="exact"/>
        <w:rPr>
          <w:rFonts w:ascii="宋体" w:hAnsi="宋体" w:cs="宋体"/>
          <w:sz w:val="24"/>
        </w:rPr>
      </w:pPr>
    </w:p>
    <w:p>
      <w:pPr>
        <w:spacing w:line="260" w:lineRule="exact"/>
        <w:rPr>
          <w:rFonts w:ascii="宋体" w:hAnsi="宋体" w:cs="宋体"/>
          <w:sz w:val="24"/>
        </w:rPr>
      </w:pPr>
      <w:r>
        <w:rPr>
          <w:rFonts w:hint="eastAsia" w:ascii="宋体" w:hAnsi="宋体" w:cs="宋体"/>
          <w:sz w:val="24"/>
          <w:lang w:val="en-US" w:eastAsia="zh-CN"/>
        </w:rPr>
        <w:t>（一）</w:t>
      </w:r>
      <w:r>
        <w:rPr>
          <w:rFonts w:hint="eastAsia" w:ascii="宋体" w:hAnsi="宋体" w:cs="宋体"/>
          <w:sz w:val="24"/>
        </w:rPr>
        <w:t>半月维保项目（内容）和要求，见表A</w:t>
      </w:r>
      <w:r>
        <w:rPr>
          <w:rFonts w:ascii="宋体" w:hAnsi="宋体" w:cs="宋体"/>
          <w:sz w:val="24"/>
        </w:rPr>
        <w:t>-1</w:t>
      </w:r>
      <w:r>
        <w:rPr>
          <w:rFonts w:hint="eastAsia" w:ascii="宋体" w:hAnsi="宋体" w:cs="宋体"/>
          <w:sz w:val="24"/>
        </w:rPr>
        <w:t>。</w:t>
      </w:r>
    </w:p>
    <w:p>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 xml:space="preserve">-1  </w:t>
      </w:r>
    </w:p>
    <w:tbl>
      <w:tblPr>
        <w:tblStyle w:val="5"/>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383"/>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83"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维保项目（内容）</w:t>
            </w:r>
          </w:p>
        </w:tc>
        <w:tc>
          <w:tcPr>
            <w:tcW w:w="4746"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机房、滑轮间环境</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手动紧急操作装置</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曳引机</w:t>
            </w:r>
          </w:p>
        </w:tc>
        <w:tc>
          <w:tcPr>
            <w:tcW w:w="4746" w:type="dxa"/>
            <w:vAlign w:val="center"/>
          </w:tcPr>
          <w:p>
            <w:pPr>
              <w:spacing w:line="260" w:lineRule="exact"/>
              <w:jc w:val="left"/>
              <w:rPr>
                <w:rFonts w:hint="eastAsia" w:ascii="宋体" w:hAnsi="宋体" w:eastAsia="宋体" w:cs="宋体"/>
                <w:strike/>
                <w:sz w:val="24"/>
                <w:szCs w:val="24"/>
              </w:rPr>
            </w:pPr>
            <w:r>
              <w:rPr>
                <w:rFonts w:hint="eastAsia" w:ascii="宋体" w:hAnsi="宋体" w:eastAsia="宋体" w:cs="宋体"/>
                <w:sz w:val="24"/>
                <w:szCs w:val="24"/>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制动器各销轴部位</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润滑，动作灵活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制动器间隙</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打开时制动衬与制动轮不应发生摩擦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编码器</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限速器各销轴部位</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轿顶</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清洁，防护拦安全可靠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轿顶检修开关、急停开关</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导靴上油杯</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对重块及其压板</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井道照明</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轿厢照明、风扇、应急照明</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轿厢检修开关、急停开关</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轿内报警装置、对讲系统</w:t>
            </w:r>
          </w:p>
        </w:tc>
        <w:tc>
          <w:tcPr>
            <w:tcW w:w="4746" w:type="dxa"/>
            <w:vAlign w:val="center"/>
          </w:tcPr>
          <w:p>
            <w:pPr>
              <w:spacing w:line="260" w:lineRule="exact"/>
              <w:jc w:val="left"/>
              <w:rPr>
                <w:rFonts w:hint="eastAsia" w:ascii="宋体" w:hAnsi="宋体" w:eastAsia="宋体" w:cs="宋体"/>
                <w:strike/>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轿内显示、指令按钮</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轿门安全装置（安全触板，光幕、光电等）</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轿门门锁电气触点</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 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轿门运行</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轿厢平层精度</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层站召唤、层楼显示</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层门地坎</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23</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层门自动关门装置</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24</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层门门锁自动复位</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层门门锁电气触点</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 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层门锁紧元件啮合长度</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不小于7mm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27</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底坑环境</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28</w:t>
            </w:r>
          </w:p>
        </w:tc>
        <w:tc>
          <w:tcPr>
            <w:tcW w:w="3383"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底坑急停开关</w:t>
            </w:r>
          </w:p>
        </w:tc>
        <w:tc>
          <w:tcPr>
            <w:tcW w:w="4746" w:type="dxa"/>
            <w:vAlign w:val="center"/>
          </w:tcPr>
          <w:p>
            <w:pPr>
              <w:spacing w:line="260" w:lineRule="exact"/>
              <w:jc w:val="left"/>
              <w:rPr>
                <w:rFonts w:hint="eastAsia" w:ascii="宋体" w:hAnsi="宋体" w:eastAsia="宋体" w:cs="宋体"/>
                <w:sz w:val="24"/>
                <w:szCs w:val="24"/>
              </w:rPr>
            </w:pPr>
            <w:r>
              <w:rPr>
                <w:rFonts w:hint="eastAsia" w:ascii="宋体" w:hAnsi="宋体" w:eastAsia="宋体" w:cs="宋体"/>
                <w:sz w:val="24"/>
                <w:szCs w:val="24"/>
              </w:rPr>
              <w:t>工作正常</w:t>
            </w:r>
          </w:p>
        </w:tc>
      </w:tr>
    </w:tbl>
    <w:p>
      <w:pPr>
        <w:spacing w:line="260" w:lineRule="exact"/>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lang w:val="en-US" w:eastAsia="zh-CN"/>
        </w:rPr>
        <w:t>（二）</w:t>
      </w:r>
      <w:r>
        <w:rPr>
          <w:rFonts w:hint="eastAsia" w:ascii="宋体" w:hAnsi="宋体" w:cs="宋体"/>
          <w:sz w:val="24"/>
        </w:rPr>
        <w:t>月维保项目（内容）和要求，见表A-2。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rPr>
        <w:t>月度维保项目(内容)和要求除符合A-1的要求外，还应当符合表A-2的要求。</w:t>
      </w:r>
    </w:p>
    <w:p>
      <w:pPr>
        <w:spacing w:line="260" w:lineRule="exact"/>
        <w:rPr>
          <w:rFonts w:ascii="宋体" w:hAnsi="宋体" w:cs="宋体"/>
          <w:sz w:val="24"/>
        </w:rPr>
      </w:pPr>
    </w:p>
    <w:p>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w:t>
      </w:r>
      <w:r>
        <w:rPr>
          <w:rFonts w:hint="eastAsia" w:ascii="宋体" w:hAnsi="宋体" w:cs="宋体"/>
          <w:sz w:val="24"/>
        </w:rPr>
        <w:t>2</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746"/>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维保项目（内容）</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限速器各销轴部位</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轿顶</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清洁，防护拦安全可靠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轿顶检修开关、急停开关</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导靴上油杯</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对重块及其压板</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井道照明</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轿厢照明、风扇、应急照明</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轿厢检修开关、急停开关</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层门、轿门系统中传动钢丝绳、链条、胶带</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制动器上检测开关</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219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控制柜内各接线端子</w:t>
            </w:r>
          </w:p>
        </w:tc>
        <w:tc>
          <w:tcPr>
            <w:tcW w:w="2236"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各接线紧固、整齐，线号齐全清晰</w:t>
            </w:r>
          </w:p>
        </w:tc>
      </w:tr>
    </w:tbl>
    <w:p>
      <w:pPr>
        <w:spacing w:line="260" w:lineRule="exact"/>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lang w:val="en-US" w:eastAsia="zh-CN"/>
        </w:rPr>
        <w:t>（三）</w:t>
      </w:r>
      <w:r>
        <w:rPr>
          <w:rFonts w:hint="eastAsia" w:ascii="宋体" w:hAnsi="宋体" w:cs="宋体"/>
          <w:sz w:val="24"/>
        </w:rPr>
        <w:t>季度维保项目(内容)和要求，见表A-3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rPr>
        <w:t>季度维保项目(内容)和要求除符合A-2的要求外，还应当符合表A-3的要求。</w:t>
      </w:r>
    </w:p>
    <w:p>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w:t>
      </w:r>
      <w:r>
        <w:rPr>
          <w:rFonts w:hint="eastAsia" w:ascii="宋体" w:hAnsi="宋体" w:cs="宋体"/>
          <w:sz w:val="24"/>
        </w:rPr>
        <w:t>3</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746"/>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维保项目（内容）</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减速机润滑油</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制动衬</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位置脉冲发生器</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选层器动静触点</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曳引轮槽、曳引钢丝绳</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清洁，无严重油腻，张力均匀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限速器轮槽、限速器钢丝绳</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靴衬、滚轮</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验证轿门关闭的电气安全装置</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层门、轿门系统中传动钢丝绳、链条、胶带</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层门门导靴</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消防开关</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耗能缓冲器</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219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限速器</w:t>
            </w:r>
            <w:r>
              <w:rPr>
                <w:rFonts w:hint="eastAsia" w:ascii="宋体" w:hAnsi="宋体" w:eastAsia="宋体" w:cs="宋体"/>
                <w:bCs/>
                <w:sz w:val="24"/>
                <w:szCs w:val="24"/>
              </w:rPr>
              <w:t>张</w:t>
            </w:r>
            <w:r>
              <w:rPr>
                <w:rFonts w:hint="eastAsia" w:ascii="宋体" w:hAnsi="宋体" w:eastAsia="宋体" w:cs="宋体"/>
                <w:sz w:val="24"/>
                <w:szCs w:val="24"/>
              </w:rPr>
              <w:t>紧轮装置和电气安全装置</w:t>
            </w:r>
          </w:p>
        </w:tc>
        <w:tc>
          <w:tcPr>
            <w:tcW w:w="22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rPr>
      </w:pPr>
      <w:r>
        <w:rPr>
          <w:rFonts w:hint="eastAsia" w:ascii="宋体" w:hAnsi="宋体" w:cs="宋体"/>
          <w:sz w:val="24"/>
          <w:lang w:val="en-US" w:eastAsia="zh-CN"/>
        </w:rPr>
        <w:t>（四）</w:t>
      </w:r>
      <w:r>
        <w:rPr>
          <w:rFonts w:hint="eastAsia" w:ascii="宋体" w:hAnsi="宋体" w:cs="宋体"/>
          <w:sz w:val="24"/>
        </w:rPr>
        <w:t>半年维保项目(内容)和要求，见表A-4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rPr>
      </w:pPr>
      <w:r>
        <w:rPr>
          <w:rFonts w:hint="eastAsia" w:ascii="宋体" w:hAnsi="宋体" w:cs="宋体"/>
          <w:sz w:val="24"/>
        </w:rPr>
        <w:t>半年维保项目(内容)和要求除符合A-3的要求外，还应当符合表A-4的要求。</w:t>
      </w:r>
    </w:p>
    <w:p>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w:t>
      </w:r>
      <w:r>
        <w:rPr>
          <w:rFonts w:hint="eastAsia" w:ascii="宋体" w:hAnsi="宋体" w:cs="宋体"/>
          <w:sz w:val="24"/>
        </w:rPr>
        <w:t>4</w:t>
      </w:r>
      <w:r>
        <w:rPr>
          <w:rFonts w:ascii="宋体" w:hAnsi="宋体" w:cs="宋体"/>
          <w:sz w:val="24"/>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678"/>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维保项目（内容）</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电动机与减速机联轴器螺栓</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曳引轮、导向轮轴承部</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曳引轮槽</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制动器上检测开关</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控制柜内各接线端子</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控制柜各仪表</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显示正确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井道、对重、轿顶各反绳轮轴承部</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曳引绳、补偿绳</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曳引绳绳头组合</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限速器钢丝绳</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磨损量、断丝数不超过制造单位要求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层门、轿门门扇</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门扇各相关间隙符合标准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对重缓冲距</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补偿链（绳）与轿厢、对重接合处</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5"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2158"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上下极限开关</w:t>
            </w:r>
          </w:p>
        </w:tc>
        <w:tc>
          <w:tcPr>
            <w:tcW w:w="2337" w:type="pct"/>
            <w:vAlign w:val="center"/>
          </w:tcPr>
          <w:p>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bl>
    <w:p>
      <w:pPr>
        <w:spacing w:line="260" w:lineRule="exact"/>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年度维保项目(内容)和要求，见表A-5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rPr>
      </w:pPr>
      <w:r>
        <w:rPr>
          <w:rFonts w:hint="eastAsia" w:ascii="宋体" w:hAnsi="宋体" w:cs="宋体"/>
          <w:sz w:val="24"/>
        </w:rPr>
        <w:t>年度维保项目(内容)和要求除符合A-4的要求外，还应当符合表A-5的要求。</w:t>
      </w:r>
    </w:p>
    <w:p>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w:t>
      </w:r>
      <w:r>
        <w:rPr>
          <w:rFonts w:hint="eastAsia" w:ascii="宋体" w:hAnsi="宋体" w:cs="宋体"/>
          <w:sz w:val="24"/>
        </w:rPr>
        <w:t>5</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721"/>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93" w:type="pct"/>
            <w:vAlign w:val="center"/>
          </w:tcPr>
          <w:p>
            <w:pPr>
              <w:spacing w:line="260" w:lineRule="exact"/>
              <w:jc w:val="center"/>
              <w:rPr>
                <w:rFonts w:ascii="宋体" w:hAnsi="宋体" w:cs="宋体"/>
                <w:sz w:val="24"/>
              </w:rPr>
            </w:pPr>
            <w:r>
              <w:rPr>
                <w:rFonts w:hint="eastAsia" w:ascii="宋体" w:hAnsi="宋体" w:cs="宋体"/>
                <w:sz w:val="24"/>
              </w:rPr>
              <w:t>序号</w:t>
            </w:r>
          </w:p>
        </w:tc>
        <w:tc>
          <w:tcPr>
            <w:tcW w:w="2183" w:type="pct"/>
            <w:vAlign w:val="center"/>
          </w:tcPr>
          <w:p>
            <w:pPr>
              <w:spacing w:line="260" w:lineRule="exact"/>
              <w:jc w:val="center"/>
              <w:rPr>
                <w:rFonts w:ascii="宋体" w:hAnsi="宋体" w:cs="宋体"/>
                <w:sz w:val="24"/>
              </w:rPr>
            </w:pPr>
            <w:r>
              <w:rPr>
                <w:rFonts w:hint="eastAsia" w:ascii="宋体" w:hAnsi="宋体" w:cs="宋体"/>
                <w:sz w:val="24"/>
              </w:rPr>
              <w:t>维保项目（内容）</w:t>
            </w:r>
          </w:p>
        </w:tc>
        <w:tc>
          <w:tcPr>
            <w:tcW w:w="2324" w:type="pct"/>
            <w:vAlign w:val="center"/>
          </w:tcPr>
          <w:p>
            <w:pPr>
              <w:spacing w:line="260" w:lineRule="exact"/>
              <w:jc w:val="center"/>
              <w:rPr>
                <w:rFonts w:ascii="宋体" w:hAnsi="宋体" w:cs="宋体"/>
                <w:sz w:val="24"/>
              </w:rPr>
            </w:pPr>
            <w:r>
              <w:rPr>
                <w:rFonts w:hint="eastAsia" w:ascii="宋体" w:hAnsi="宋体" w:cs="宋体"/>
                <w:sz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1</w:t>
            </w:r>
          </w:p>
        </w:tc>
        <w:tc>
          <w:tcPr>
            <w:tcW w:w="2183" w:type="pct"/>
            <w:vAlign w:val="center"/>
          </w:tcPr>
          <w:p>
            <w:pPr>
              <w:spacing w:line="260" w:lineRule="exact"/>
              <w:jc w:val="center"/>
              <w:rPr>
                <w:rFonts w:ascii="宋体" w:hAnsi="宋体" w:cs="宋体"/>
                <w:sz w:val="24"/>
              </w:rPr>
            </w:pPr>
            <w:r>
              <w:rPr>
                <w:rFonts w:hint="eastAsia" w:ascii="宋体" w:hAnsi="宋体" w:cs="宋体"/>
                <w:sz w:val="24"/>
              </w:rPr>
              <w:t>减速机润滑油</w:t>
            </w:r>
          </w:p>
        </w:tc>
        <w:tc>
          <w:tcPr>
            <w:tcW w:w="2324" w:type="pct"/>
            <w:vAlign w:val="center"/>
          </w:tcPr>
          <w:p>
            <w:pPr>
              <w:spacing w:line="260" w:lineRule="exact"/>
              <w:jc w:val="center"/>
              <w:rPr>
                <w:rFonts w:ascii="宋体" w:hAnsi="宋体" w:cs="宋体"/>
                <w:sz w:val="24"/>
              </w:rPr>
            </w:pPr>
            <w:r>
              <w:rPr>
                <w:rFonts w:hint="eastAsia" w:ascii="宋体" w:hAnsi="宋体" w:cs="宋体"/>
                <w:sz w:val="24"/>
              </w:rPr>
              <w:t>按照制造单位要求适时更换，保证油质符合要求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2</w:t>
            </w:r>
          </w:p>
        </w:tc>
        <w:tc>
          <w:tcPr>
            <w:tcW w:w="2183" w:type="pct"/>
            <w:vAlign w:val="center"/>
          </w:tcPr>
          <w:p>
            <w:pPr>
              <w:spacing w:line="260" w:lineRule="exact"/>
              <w:jc w:val="center"/>
              <w:rPr>
                <w:rFonts w:ascii="宋体" w:hAnsi="宋体" w:cs="宋体"/>
                <w:sz w:val="24"/>
              </w:rPr>
            </w:pPr>
            <w:r>
              <w:rPr>
                <w:rFonts w:hint="eastAsia" w:ascii="宋体" w:hAnsi="宋体" w:cs="宋体"/>
                <w:sz w:val="24"/>
              </w:rPr>
              <w:t>控制柜接触器，继电器触点</w:t>
            </w:r>
          </w:p>
        </w:tc>
        <w:tc>
          <w:tcPr>
            <w:tcW w:w="2324" w:type="pct"/>
            <w:vAlign w:val="center"/>
          </w:tcPr>
          <w:p>
            <w:pPr>
              <w:spacing w:line="260" w:lineRule="exact"/>
              <w:jc w:val="center"/>
              <w:rPr>
                <w:rFonts w:ascii="宋体" w:hAnsi="宋体" w:cs="宋体"/>
                <w:sz w:val="24"/>
              </w:rPr>
            </w:pPr>
            <w:r>
              <w:rPr>
                <w:rFonts w:hint="eastAsia" w:ascii="宋体" w:hAnsi="宋体" w:cs="宋体"/>
                <w:sz w:val="24"/>
              </w:rPr>
              <w:t>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3</w:t>
            </w:r>
          </w:p>
        </w:tc>
        <w:tc>
          <w:tcPr>
            <w:tcW w:w="2183" w:type="pct"/>
            <w:vAlign w:val="center"/>
          </w:tcPr>
          <w:p>
            <w:pPr>
              <w:spacing w:line="260" w:lineRule="exact"/>
              <w:jc w:val="center"/>
              <w:rPr>
                <w:rFonts w:ascii="宋体" w:hAnsi="宋体" w:cs="宋体"/>
                <w:sz w:val="24"/>
              </w:rPr>
            </w:pPr>
            <w:r>
              <w:rPr>
                <w:rFonts w:hint="eastAsia" w:ascii="宋体" w:hAnsi="宋体" w:cs="宋体"/>
                <w:sz w:val="24"/>
              </w:rPr>
              <w:t>制动器铁芯（柱塞）</w:t>
            </w:r>
          </w:p>
        </w:tc>
        <w:tc>
          <w:tcPr>
            <w:tcW w:w="2324" w:type="pct"/>
            <w:vAlign w:val="center"/>
          </w:tcPr>
          <w:p>
            <w:pPr>
              <w:spacing w:line="260" w:lineRule="exact"/>
              <w:jc w:val="center"/>
              <w:rPr>
                <w:rFonts w:ascii="宋体" w:hAnsi="宋体" w:cs="宋体"/>
                <w:sz w:val="24"/>
              </w:rPr>
            </w:pPr>
            <w:r>
              <w:rPr>
                <w:rFonts w:hint="eastAsia" w:ascii="宋体" w:hAnsi="宋体" w:cs="宋体"/>
                <w:bCs/>
                <w:sz w:val="24"/>
              </w:rPr>
              <w:t>进行</w:t>
            </w:r>
            <w:r>
              <w:rPr>
                <w:rFonts w:hint="eastAsia" w:ascii="宋体" w:hAnsi="宋体" w:cs="宋体"/>
                <w:sz w:val="24"/>
              </w:rPr>
              <w:t>清洁、润滑、</w:t>
            </w:r>
            <w:r>
              <w:rPr>
                <w:rFonts w:hint="eastAsia" w:ascii="宋体" w:hAnsi="宋体" w:cs="宋体"/>
                <w:bCs/>
                <w:sz w:val="24"/>
              </w:rPr>
              <w:t>检查，</w:t>
            </w:r>
            <w:r>
              <w:rPr>
                <w:rFonts w:hint="eastAsia" w:ascii="宋体" w:hAnsi="宋体" w:cs="宋体"/>
                <w:sz w:val="24"/>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4</w:t>
            </w:r>
          </w:p>
        </w:tc>
        <w:tc>
          <w:tcPr>
            <w:tcW w:w="2183" w:type="pct"/>
            <w:vAlign w:val="center"/>
          </w:tcPr>
          <w:p>
            <w:pPr>
              <w:spacing w:line="260" w:lineRule="exact"/>
              <w:jc w:val="center"/>
              <w:rPr>
                <w:rFonts w:ascii="宋体" w:hAnsi="宋体" w:cs="宋体"/>
                <w:sz w:val="24"/>
              </w:rPr>
            </w:pPr>
            <w:r>
              <w:rPr>
                <w:rFonts w:hint="eastAsia" w:ascii="宋体" w:hAnsi="宋体" w:cs="宋体"/>
                <w:sz w:val="24"/>
              </w:rPr>
              <w:t>制动器制动弹簧压缩量</w:t>
            </w:r>
          </w:p>
        </w:tc>
        <w:tc>
          <w:tcPr>
            <w:tcW w:w="2324" w:type="pct"/>
            <w:vAlign w:val="center"/>
          </w:tcPr>
          <w:p>
            <w:pPr>
              <w:spacing w:line="260" w:lineRule="exact"/>
              <w:jc w:val="center"/>
              <w:rPr>
                <w:rFonts w:ascii="宋体" w:hAnsi="宋体" w:cs="宋体"/>
                <w:sz w:val="24"/>
              </w:rPr>
            </w:pPr>
            <w:r>
              <w:rPr>
                <w:rFonts w:hint="eastAsia" w:ascii="宋体" w:hAnsi="宋体" w:cs="宋体"/>
                <w:sz w:val="24"/>
              </w:rPr>
              <w:t>符合制造单位要求，保持有足够的制动力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5</w:t>
            </w:r>
          </w:p>
        </w:tc>
        <w:tc>
          <w:tcPr>
            <w:tcW w:w="2183" w:type="pct"/>
            <w:vAlign w:val="center"/>
          </w:tcPr>
          <w:p>
            <w:pPr>
              <w:spacing w:line="260" w:lineRule="exact"/>
              <w:jc w:val="center"/>
              <w:rPr>
                <w:rFonts w:ascii="宋体" w:hAnsi="宋体" w:cs="宋体"/>
                <w:sz w:val="24"/>
              </w:rPr>
            </w:pPr>
            <w:r>
              <w:rPr>
                <w:rFonts w:hint="eastAsia" w:ascii="宋体" w:hAnsi="宋体" w:cs="宋体"/>
                <w:sz w:val="24"/>
              </w:rPr>
              <w:t>导电回路绝缘性能</w:t>
            </w:r>
            <w:r>
              <w:rPr>
                <w:rFonts w:hint="eastAsia" w:ascii="宋体" w:hAnsi="宋体" w:cs="宋体"/>
                <w:bCs/>
                <w:sz w:val="24"/>
              </w:rPr>
              <w:t>测试</w:t>
            </w:r>
          </w:p>
        </w:tc>
        <w:tc>
          <w:tcPr>
            <w:tcW w:w="2324" w:type="pct"/>
            <w:vAlign w:val="center"/>
          </w:tcPr>
          <w:p>
            <w:pPr>
              <w:spacing w:line="260" w:lineRule="exact"/>
              <w:jc w:val="center"/>
              <w:rPr>
                <w:rFonts w:ascii="宋体" w:hAnsi="宋体" w:cs="宋体"/>
                <w:sz w:val="24"/>
              </w:rPr>
            </w:pPr>
            <w:r>
              <w:rPr>
                <w:rFonts w:hint="eastAsia" w:ascii="宋体" w:hAnsi="宋体" w:cs="宋体"/>
                <w:sz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6</w:t>
            </w:r>
          </w:p>
        </w:tc>
        <w:tc>
          <w:tcPr>
            <w:tcW w:w="2183" w:type="pct"/>
            <w:vAlign w:val="center"/>
          </w:tcPr>
          <w:p>
            <w:pPr>
              <w:spacing w:line="260" w:lineRule="exact"/>
              <w:jc w:val="center"/>
              <w:rPr>
                <w:rFonts w:ascii="宋体" w:hAnsi="宋体" w:cs="宋体"/>
                <w:sz w:val="24"/>
              </w:rPr>
            </w:pPr>
            <w:r>
              <w:rPr>
                <w:rFonts w:hint="eastAsia" w:ascii="宋体" w:hAnsi="宋体" w:cs="宋体"/>
                <w:sz w:val="24"/>
              </w:rPr>
              <w:t>限速器安全钳联动试验（每</w:t>
            </w:r>
            <w:r>
              <w:rPr>
                <w:rFonts w:ascii="宋体" w:hAnsi="宋体" w:cs="宋体"/>
                <w:sz w:val="24"/>
              </w:rPr>
              <w:t>2</w:t>
            </w:r>
            <w:r>
              <w:rPr>
                <w:rFonts w:hint="eastAsia" w:ascii="宋体" w:hAnsi="宋体" w:cs="宋体"/>
                <w:sz w:val="24"/>
              </w:rPr>
              <w:t>年进行一次限速器动作速度校验）</w:t>
            </w:r>
          </w:p>
        </w:tc>
        <w:tc>
          <w:tcPr>
            <w:tcW w:w="2324" w:type="pct"/>
            <w:vAlign w:val="center"/>
          </w:tcPr>
          <w:p>
            <w:pPr>
              <w:spacing w:line="260" w:lineRule="exact"/>
              <w:jc w:val="center"/>
              <w:rPr>
                <w:rFonts w:ascii="宋体" w:hAnsi="宋体" w:cs="宋体"/>
                <w:sz w:val="24"/>
              </w:rPr>
            </w:pPr>
            <w:r>
              <w:rPr>
                <w:rFonts w:hint="eastAsia" w:ascii="宋体" w:hAnsi="宋体" w:cs="宋体"/>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7</w:t>
            </w:r>
          </w:p>
        </w:tc>
        <w:tc>
          <w:tcPr>
            <w:tcW w:w="2183" w:type="pct"/>
            <w:vAlign w:val="center"/>
          </w:tcPr>
          <w:p>
            <w:pPr>
              <w:spacing w:line="260" w:lineRule="exact"/>
              <w:jc w:val="center"/>
              <w:rPr>
                <w:rFonts w:ascii="宋体" w:hAnsi="宋体" w:cs="宋体"/>
                <w:sz w:val="24"/>
              </w:rPr>
            </w:pPr>
            <w:r>
              <w:rPr>
                <w:rFonts w:hint="eastAsia" w:ascii="宋体" w:hAnsi="宋体" w:cs="宋体"/>
                <w:sz w:val="24"/>
              </w:rPr>
              <w:t>上行超速保护装置动作试验</w:t>
            </w:r>
          </w:p>
        </w:tc>
        <w:tc>
          <w:tcPr>
            <w:tcW w:w="2324" w:type="pct"/>
            <w:vAlign w:val="center"/>
          </w:tcPr>
          <w:p>
            <w:pPr>
              <w:spacing w:line="260" w:lineRule="exact"/>
              <w:jc w:val="center"/>
              <w:rPr>
                <w:rFonts w:ascii="宋体" w:hAnsi="宋体" w:cs="宋体"/>
                <w:sz w:val="24"/>
              </w:rPr>
            </w:pPr>
            <w:r>
              <w:rPr>
                <w:rFonts w:hint="eastAsia" w:ascii="宋体" w:hAnsi="宋体" w:cs="宋体"/>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8</w:t>
            </w:r>
          </w:p>
        </w:tc>
        <w:tc>
          <w:tcPr>
            <w:tcW w:w="2183" w:type="pct"/>
            <w:vAlign w:val="center"/>
          </w:tcPr>
          <w:p>
            <w:pPr>
              <w:spacing w:line="260" w:lineRule="exact"/>
              <w:jc w:val="center"/>
              <w:rPr>
                <w:rFonts w:ascii="宋体" w:hAnsi="宋体" w:cs="宋体"/>
                <w:sz w:val="24"/>
              </w:rPr>
            </w:pPr>
            <w:r>
              <w:rPr>
                <w:rFonts w:hint="eastAsia" w:ascii="宋体" w:hAnsi="宋体" w:cs="宋体"/>
                <w:sz w:val="24"/>
              </w:rPr>
              <w:t>轿顶、轿厢架、轿门及其附件安装螺栓</w:t>
            </w:r>
          </w:p>
        </w:tc>
        <w:tc>
          <w:tcPr>
            <w:tcW w:w="2324" w:type="pct"/>
            <w:vAlign w:val="center"/>
          </w:tcPr>
          <w:p>
            <w:pPr>
              <w:spacing w:line="260" w:lineRule="exact"/>
              <w:jc w:val="center"/>
              <w:rPr>
                <w:rFonts w:ascii="宋体" w:hAnsi="宋体" w:cs="宋体"/>
                <w:sz w:val="24"/>
              </w:rPr>
            </w:pPr>
            <w:r>
              <w:rPr>
                <w:rFonts w:hint="eastAsia" w:ascii="宋体" w:hAnsi="宋体" w:cs="宋体"/>
                <w:sz w:val="24"/>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bCs/>
                <w:sz w:val="24"/>
              </w:rPr>
            </w:pPr>
            <w:r>
              <w:rPr>
                <w:rFonts w:ascii="宋体" w:hAnsi="宋体" w:cs="宋体"/>
                <w:bCs/>
                <w:sz w:val="24"/>
              </w:rPr>
              <w:t>9</w:t>
            </w:r>
          </w:p>
        </w:tc>
        <w:tc>
          <w:tcPr>
            <w:tcW w:w="2183" w:type="pct"/>
            <w:vAlign w:val="center"/>
          </w:tcPr>
          <w:p>
            <w:pPr>
              <w:spacing w:line="260" w:lineRule="exact"/>
              <w:jc w:val="center"/>
              <w:rPr>
                <w:rFonts w:ascii="宋体" w:hAnsi="宋体" w:cs="宋体"/>
                <w:bCs/>
                <w:sz w:val="24"/>
              </w:rPr>
            </w:pPr>
            <w:r>
              <w:rPr>
                <w:rFonts w:hint="eastAsia" w:ascii="宋体" w:hAnsi="宋体" w:cs="宋体"/>
                <w:bCs/>
                <w:sz w:val="24"/>
              </w:rPr>
              <w:t>轿厢和对重的导轨支架</w:t>
            </w:r>
          </w:p>
        </w:tc>
        <w:tc>
          <w:tcPr>
            <w:tcW w:w="2324" w:type="pct"/>
            <w:vAlign w:val="center"/>
          </w:tcPr>
          <w:p>
            <w:pPr>
              <w:spacing w:line="260" w:lineRule="exact"/>
              <w:jc w:val="center"/>
              <w:rPr>
                <w:rFonts w:ascii="宋体" w:hAnsi="宋体" w:cs="宋体"/>
                <w:bCs/>
                <w:sz w:val="24"/>
              </w:rPr>
            </w:pPr>
            <w:r>
              <w:rPr>
                <w:rFonts w:hint="eastAsia" w:ascii="宋体" w:hAnsi="宋体" w:cs="宋体"/>
                <w:bCs/>
                <w:sz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bCs/>
                <w:sz w:val="24"/>
              </w:rPr>
            </w:pPr>
            <w:r>
              <w:rPr>
                <w:rFonts w:ascii="宋体" w:hAnsi="宋体" w:cs="宋体"/>
                <w:bCs/>
                <w:sz w:val="24"/>
              </w:rPr>
              <w:t>10</w:t>
            </w:r>
          </w:p>
        </w:tc>
        <w:tc>
          <w:tcPr>
            <w:tcW w:w="2183" w:type="pct"/>
            <w:vAlign w:val="center"/>
          </w:tcPr>
          <w:p>
            <w:pPr>
              <w:spacing w:line="260" w:lineRule="exact"/>
              <w:jc w:val="center"/>
              <w:rPr>
                <w:rFonts w:ascii="宋体" w:hAnsi="宋体" w:cs="宋体"/>
                <w:bCs/>
                <w:sz w:val="24"/>
              </w:rPr>
            </w:pPr>
            <w:r>
              <w:rPr>
                <w:rFonts w:hint="eastAsia" w:ascii="宋体" w:hAnsi="宋体"/>
                <w:bCs/>
                <w:sz w:val="24"/>
              </w:rPr>
              <w:t>轿厢和对重的导轨</w:t>
            </w:r>
          </w:p>
        </w:tc>
        <w:tc>
          <w:tcPr>
            <w:tcW w:w="2324" w:type="pct"/>
            <w:vAlign w:val="center"/>
          </w:tcPr>
          <w:p>
            <w:pPr>
              <w:spacing w:line="260" w:lineRule="exact"/>
              <w:jc w:val="center"/>
              <w:rPr>
                <w:rFonts w:ascii="宋体" w:hAnsi="宋体"/>
                <w:bCs/>
                <w:sz w:val="24"/>
              </w:rPr>
            </w:pPr>
            <w:r>
              <w:rPr>
                <w:rFonts w:hint="eastAsia" w:ascii="宋体" w:hAnsi="宋体"/>
                <w:bCs/>
                <w:sz w:val="24"/>
              </w:rPr>
              <w:t>清洁，压板牢固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11</w:t>
            </w:r>
          </w:p>
        </w:tc>
        <w:tc>
          <w:tcPr>
            <w:tcW w:w="2183" w:type="pct"/>
            <w:vAlign w:val="center"/>
          </w:tcPr>
          <w:p>
            <w:pPr>
              <w:spacing w:line="260" w:lineRule="exact"/>
              <w:jc w:val="center"/>
              <w:rPr>
                <w:rFonts w:ascii="宋体" w:hAnsi="宋体" w:cs="宋体"/>
                <w:sz w:val="24"/>
              </w:rPr>
            </w:pPr>
            <w:r>
              <w:rPr>
                <w:rFonts w:hint="eastAsia" w:ascii="宋体" w:hAnsi="宋体" w:cs="宋体"/>
                <w:sz w:val="24"/>
              </w:rPr>
              <w:t>随行电缆</w:t>
            </w:r>
          </w:p>
        </w:tc>
        <w:tc>
          <w:tcPr>
            <w:tcW w:w="2324" w:type="pct"/>
            <w:vAlign w:val="center"/>
          </w:tcPr>
          <w:p>
            <w:pPr>
              <w:spacing w:line="260" w:lineRule="exact"/>
              <w:jc w:val="center"/>
              <w:rPr>
                <w:rFonts w:ascii="宋体" w:hAnsi="宋体" w:cs="宋体"/>
                <w:sz w:val="24"/>
              </w:rPr>
            </w:pPr>
            <w:r>
              <w:rPr>
                <w:rFonts w:hint="eastAsia" w:ascii="宋体" w:hAnsi="宋体" w:cs="宋体"/>
                <w:sz w:val="24"/>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12</w:t>
            </w:r>
          </w:p>
        </w:tc>
        <w:tc>
          <w:tcPr>
            <w:tcW w:w="2183" w:type="pct"/>
            <w:vAlign w:val="center"/>
          </w:tcPr>
          <w:p>
            <w:pPr>
              <w:spacing w:line="260" w:lineRule="exact"/>
              <w:jc w:val="center"/>
              <w:rPr>
                <w:rFonts w:ascii="宋体" w:hAnsi="宋体" w:cs="宋体"/>
                <w:sz w:val="24"/>
              </w:rPr>
            </w:pPr>
            <w:r>
              <w:rPr>
                <w:rFonts w:hint="eastAsia" w:ascii="宋体" w:hAnsi="宋体" w:cs="宋体"/>
                <w:sz w:val="24"/>
              </w:rPr>
              <w:t>层门装置和地坎</w:t>
            </w:r>
          </w:p>
        </w:tc>
        <w:tc>
          <w:tcPr>
            <w:tcW w:w="2324" w:type="pct"/>
            <w:vAlign w:val="center"/>
          </w:tcPr>
          <w:p>
            <w:pPr>
              <w:spacing w:line="260" w:lineRule="exact"/>
              <w:jc w:val="center"/>
              <w:rPr>
                <w:rFonts w:ascii="宋体" w:hAnsi="宋体" w:cs="宋体"/>
                <w:sz w:val="24"/>
              </w:rPr>
            </w:pPr>
            <w:r>
              <w:rPr>
                <w:rFonts w:hint="eastAsia" w:ascii="宋体" w:hAnsi="宋体" w:cs="宋体"/>
                <w:sz w:val="24"/>
              </w:rPr>
              <w:t>无影响正常使用的变形，各安装螺栓紧固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13</w:t>
            </w:r>
          </w:p>
        </w:tc>
        <w:tc>
          <w:tcPr>
            <w:tcW w:w="2183" w:type="pct"/>
            <w:vAlign w:val="center"/>
          </w:tcPr>
          <w:p>
            <w:pPr>
              <w:spacing w:line="260" w:lineRule="exact"/>
              <w:jc w:val="center"/>
              <w:rPr>
                <w:rFonts w:ascii="宋体" w:hAnsi="宋体" w:cs="宋体"/>
                <w:sz w:val="24"/>
              </w:rPr>
            </w:pPr>
            <w:r>
              <w:rPr>
                <w:rFonts w:hint="eastAsia" w:ascii="宋体" w:hAnsi="宋体" w:cs="宋体"/>
                <w:sz w:val="24"/>
              </w:rPr>
              <w:t>轿厢称重装置</w:t>
            </w:r>
          </w:p>
        </w:tc>
        <w:tc>
          <w:tcPr>
            <w:tcW w:w="2324" w:type="pct"/>
            <w:vAlign w:val="center"/>
          </w:tcPr>
          <w:p>
            <w:pPr>
              <w:spacing w:line="260" w:lineRule="exact"/>
              <w:jc w:val="center"/>
              <w:rPr>
                <w:rFonts w:ascii="宋体" w:hAnsi="宋体" w:cs="宋体"/>
                <w:sz w:val="24"/>
              </w:rPr>
            </w:pPr>
            <w:r>
              <w:rPr>
                <w:rFonts w:hint="eastAsia" w:ascii="宋体" w:hAnsi="宋体" w:cs="宋体"/>
                <w:sz w:val="24"/>
              </w:rPr>
              <w:t>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14</w:t>
            </w:r>
          </w:p>
        </w:tc>
        <w:tc>
          <w:tcPr>
            <w:tcW w:w="2183" w:type="pct"/>
            <w:vAlign w:val="center"/>
          </w:tcPr>
          <w:p>
            <w:pPr>
              <w:spacing w:line="260" w:lineRule="exact"/>
              <w:jc w:val="center"/>
              <w:rPr>
                <w:rFonts w:ascii="宋体" w:hAnsi="宋体" w:cs="宋体"/>
                <w:sz w:val="24"/>
              </w:rPr>
            </w:pPr>
            <w:r>
              <w:rPr>
                <w:rFonts w:hint="eastAsia" w:ascii="宋体" w:hAnsi="宋体" w:cs="宋体"/>
                <w:sz w:val="24"/>
              </w:rPr>
              <w:t>安全钳钳座</w:t>
            </w:r>
          </w:p>
        </w:tc>
        <w:tc>
          <w:tcPr>
            <w:tcW w:w="2324" w:type="pct"/>
            <w:vAlign w:val="center"/>
          </w:tcPr>
          <w:p>
            <w:pPr>
              <w:spacing w:line="260" w:lineRule="exact"/>
              <w:jc w:val="center"/>
              <w:rPr>
                <w:rFonts w:ascii="宋体" w:hAnsi="宋体" w:cs="宋体"/>
                <w:sz w:val="24"/>
              </w:rPr>
            </w:pPr>
            <w:r>
              <w:rPr>
                <w:rFonts w:hint="eastAsia" w:ascii="宋体" w:hAnsi="宋体" w:cs="宋体"/>
                <w:sz w:val="24"/>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15</w:t>
            </w:r>
          </w:p>
        </w:tc>
        <w:tc>
          <w:tcPr>
            <w:tcW w:w="2183" w:type="pct"/>
            <w:vAlign w:val="center"/>
          </w:tcPr>
          <w:p>
            <w:pPr>
              <w:spacing w:line="260" w:lineRule="exact"/>
              <w:jc w:val="center"/>
              <w:rPr>
                <w:rFonts w:ascii="宋体" w:hAnsi="宋体" w:cs="宋体"/>
                <w:sz w:val="24"/>
              </w:rPr>
            </w:pPr>
            <w:r>
              <w:rPr>
                <w:rFonts w:hint="eastAsia" w:ascii="宋体" w:hAnsi="宋体"/>
                <w:sz w:val="24"/>
              </w:rPr>
              <w:t>轿底各安装螺栓</w:t>
            </w:r>
          </w:p>
        </w:tc>
        <w:tc>
          <w:tcPr>
            <w:tcW w:w="2324" w:type="pct"/>
            <w:vAlign w:val="center"/>
          </w:tcPr>
          <w:p>
            <w:pPr>
              <w:spacing w:line="260" w:lineRule="exact"/>
              <w:jc w:val="center"/>
              <w:rPr>
                <w:rFonts w:ascii="宋体" w:hAnsi="宋体"/>
                <w:sz w:val="24"/>
              </w:rPr>
            </w:pPr>
            <w:r>
              <w:rPr>
                <w:rFonts w:hint="eastAsia" w:ascii="宋体" w:hAnsi="宋体"/>
                <w:sz w:val="24"/>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pct"/>
            <w:vAlign w:val="center"/>
          </w:tcPr>
          <w:p>
            <w:pPr>
              <w:spacing w:line="260" w:lineRule="exact"/>
              <w:jc w:val="center"/>
              <w:rPr>
                <w:rFonts w:ascii="宋体" w:hAnsi="宋体" w:cs="宋体"/>
                <w:sz w:val="24"/>
              </w:rPr>
            </w:pPr>
            <w:r>
              <w:rPr>
                <w:rFonts w:ascii="宋体" w:hAnsi="宋体" w:cs="宋体"/>
                <w:sz w:val="24"/>
              </w:rPr>
              <w:t>16</w:t>
            </w:r>
          </w:p>
        </w:tc>
        <w:tc>
          <w:tcPr>
            <w:tcW w:w="2183" w:type="pct"/>
            <w:vAlign w:val="center"/>
          </w:tcPr>
          <w:p>
            <w:pPr>
              <w:spacing w:line="260" w:lineRule="exact"/>
              <w:jc w:val="center"/>
              <w:rPr>
                <w:rFonts w:ascii="宋体" w:hAnsi="宋体" w:cs="宋体"/>
                <w:sz w:val="24"/>
              </w:rPr>
            </w:pPr>
            <w:r>
              <w:rPr>
                <w:rFonts w:hint="eastAsia" w:ascii="宋体" w:hAnsi="宋体" w:cs="宋体"/>
                <w:sz w:val="24"/>
              </w:rPr>
              <w:t>缓冲器</w:t>
            </w:r>
          </w:p>
        </w:tc>
        <w:tc>
          <w:tcPr>
            <w:tcW w:w="2324" w:type="pct"/>
            <w:vAlign w:val="center"/>
          </w:tcPr>
          <w:p>
            <w:pPr>
              <w:spacing w:line="260" w:lineRule="exact"/>
              <w:jc w:val="center"/>
              <w:rPr>
                <w:rFonts w:ascii="宋体" w:hAnsi="宋体" w:cs="宋体"/>
                <w:sz w:val="24"/>
              </w:rPr>
            </w:pPr>
            <w:r>
              <w:rPr>
                <w:rFonts w:hint="eastAsia" w:ascii="宋体" w:hAnsi="宋体" w:cs="宋体"/>
                <w:sz w:val="24"/>
              </w:rPr>
              <w:t>固定，无松动</w:t>
            </w:r>
          </w:p>
        </w:tc>
      </w:tr>
    </w:tbl>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1、如果某些电梯没有表中的项目（内容），如有的电梯不含有某种部件，项目（内容）可适当进行调整：</w:t>
      </w:r>
    </w:p>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2、维保项目（内容）和要求中对测试、试验有明确规定的，应当按照规定进行测试、试验，没有明确规定，一般为检查、调整、清洁和润滑；</w:t>
      </w:r>
    </w:p>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3、维保基本要求，规定为“符合标准”的，有国家标准应当符合国家标准，没有国家标准的应当符合行业标准、企业标准；</w:t>
      </w:r>
    </w:p>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4、维保基本要求，规定为“制造单位要求”的，按照制造单位的要求，其他没有明确的“要求”，应当为安全技术规范、标准或者制造单位等的要求。</w:t>
      </w:r>
    </w:p>
    <w:p>
      <w:pPr>
        <w:spacing w:line="530" w:lineRule="exact"/>
        <w:jc w:val="left"/>
        <w:rPr>
          <w:rFonts w:hint="default" w:ascii="宋体" w:hAnsi="宋体" w:eastAsia="宋体" w:cs="宋体"/>
          <w:sz w:val="24"/>
          <w:szCs w:val="24"/>
          <w:lang w:val="en-US" w:eastAsia="zh-CN"/>
        </w:rPr>
      </w:pPr>
      <w:r>
        <w:rPr>
          <w:rFonts w:hint="eastAsia" w:ascii="宋体" w:hAnsi="宋体" w:cs="宋体"/>
          <w:sz w:val="24"/>
          <w:lang w:val="en-US" w:eastAsia="zh-CN"/>
        </w:rPr>
        <w:t>（六）</w:t>
      </w:r>
      <w:r>
        <w:rPr>
          <w:rFonts w:hint="eastAsia" w:ascii="宋体" w:hAnsi="宋体" w:eastAsia="宋体" w:cs="宋体"/>
          <w:sz w:val="24"/>
          <w:szCs w:val="24"/>
          <w:lang w:val="en-US" w:eastAsia="zh-CN"/>
        </w:rPr>
        <w:t>配件清单：</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1"/>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79"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序号</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配件名称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2</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3</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4</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限位开关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5</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极限开关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6</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缓速开关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7</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涨绳轮开关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8</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安全钳开关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bCs/>
                <w:sz w:val="24"/>
                <w:lang w:val="en-US" w:eastAsia="zh-CN"/>
              </w:rPr>
            </w:pPr>
            <w:r>
              <w:rPr>
                <w:rFonts w:hint="eastAsia" w:ascii="宋体" w:hAnsi="宋体" w:cs="宋体"/>
                <w:bCs/>
                <w:sz w:val="24"/>
                <w:lang w:val="en-US" w:eastAsia="zh-CN"/>
              </w:rPr>
              <w:t>9</w:t>
            </w:r>
          </w:p>
        </w:tc>
        <w:tc>
          <w:tcPr>
            <w:tcW w:w="3520" w:type="pct"/>
            <w:vAlign w:val="center"/>
          </w:tcPr>
          <w:p>
            <w:pPr>
              <w:spacing w:line="260" w:lineRule="exact"/>
              <w:jc w:val="center"/>
              <w:rPr>
                <w:rFonts w:hint="eastAsia" w:ascii="宋体" w:hAnsi="宋体" w:cs="宋体" w:eastAsiaTheme="minorEastAsia"/>
                <w:bCs/>
                <w:sz w:val="24"/>
                <w:lang w:eastAsia="zh-CN"/>
              </w:rPr>
            </w:pPr>
            <w:r>
              <w:rPr>
                <w:rFonts w:hint="eastAsia" w:ascii="宋体" w:hAnsi="宋体" w:cs="宋体"/>
                <w:bCs/>
                <w:sz w:val="24"/>
                <w:lang w:eastAsia="zh-CN"/>
              </w:rPr>
              <w:t>门滑块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default" w:ascii="宋体" w:hAnsi="宋体" w:cs="宋体" w:eastAsiaTheme="minorEastAsia"/>
                <w:bCs/>
                <w:sz w:val="24"/>
                <w:lang w:val="en-US" w:eastAsia="zh-CN"/>
              </w:rPr>
            </w:pPr>
            <w:r>
              <w:rPr>
                <w:rFonts w:hint="eastAsia" w:ascii="宋体" w:hAnsi="宋体" w:cs="宋体"/>
                <w:bCs/>
                <w:sz w:val="24"/>
                <w:lang w:val="en-US" w:eastAsia="zh-CN"/>
              </w:rPr>
              <w:t>10</w:t>
            </w:r>
          </w:p>
        </w:tc>
        <w:tc>
          <w:tcPr>
            <w:tcW w:w="3520" w:type="pct"/>
            <w:vAlign w:val="center"/>
          </w:tcPr>
          <w:p>
            <w:pPr>
              <w:spacing w:line="260" w:lineRule="exact"/>
              <w:jc w:val="center"/>
              <w:rPr>
                <w:rFonts w:hint="eastAsia" w:ascii="宋体" w:hAnsi="宋体" w:cs="宋体" w:eastAsiaTheme="minorEastAsia"/>
                <w:bCs/>
                <w:sz w:val="24"/>
                <w:lang w:eastAsia="zh-CN"/>
              </w:rPr>
            </w:pPr>
            <w:r>
              <w:rPr>
                <w:rFonts w:hint="eastAsia" w:ascii="宋体" w:hAnsi="宋体" w:cs="宋体"/>
                <w:bCs/>
                <w:sz w:val="24"/>
                <w:lang w:eastAsia="zh-CN"/>
              </w:rPr>
              <w:t>应急灯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11</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井道照明灯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12</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门锁辅助触点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13</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门轮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14</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油盒</w:t>
            </w:r>
          </w:p>
        </w:tc>
      </w:tr>
    </w:tbl>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备注：以上配件价格在300元以下（含300元）由投标人免费负责更换。</w:t>
      </w:r>
    </w:p>
    <w:p>
      <w:pPr>
        <w:spacing w:line="360" w:lineRule="auto"/>
        <w:rPr>
          <w:rFonts w:hint="eastAsia" w:ascii="宋体" w:hAnsi="宋体" w:eastAsiaTheme="minorEastAsia"/>
          <w:b/>
          <w:sz w:val="24"/>
          <w:lang w:eastAsia="zh-CN"/>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hint="eastAsia" w:ascii="宋体" w:hAnsi="宋体"/>
          <w:b/>
          <w:sz w:val="24"/>
        </w:rPr>
      </w:pPr>
      <w:r>
        <w:rPr>
          <w:rFonts w:ascii="宋体" w:hAnsi="宋体"/>
          <w:b/>
          <w:sz w:val="24"/>
        </w:rPr>
        <w:t>附件</w:t>
      </w:r>
      <w:r>
        <w:rPr>
          <w:rFonts w:hint="eastAsia" w:ascii="宋体" w:hAnsi="宋体"/>
          <w:b/>
          <w:sz w:val="24"/>
        </w:rPr>
        <w:t>二（扶梯部分）</w:t>
      </w:r>
    </w:p>
    <w:p>
      <w:pPr>
        <w:pStyle w:val="2"/>
      </w:pPr>
    </w:p>
    <w:p>
      <w:pPr>
        <w:spacing w:line="260" w:lineRule="exact"/>
        <w:jc w:val="center"/>
        <w:rPr>
          <w:rFonts w:ascii="宋体" w:hAnsi="宋体" w:cs="宋体"/>
          <w:sz w:val="24"/>
        </w:rPr>
      </w:pPr>
      <w:r>
        <w:rPr>
          <w:rFonts w:ascii="宋体" w:hAnsi="宋体" w:cs="宋体"/>
          <w:sz w:val="24"/>
        </w:rPr>
        <w:t>自动扶梯和自动人行道日常维护保养项目（内容）和要求</w:t>
      </w:r>
    </w:p>
    <w:p>
      <w:pPr>
        <w:spacing w:line="260" w:lineRule="exact"/>
        <w:rPr>
          <w:rFonts w:ascii="宋体" w:hAnsi="宋体" w:cs="宋体"/>
          <w:sz w:val="24"/>
        </w:rPr>
      </w:pPr>
      <w:r>
        <w:rPr>
          <w:rFonts w:ascii="宋体" w:hAnsi="宋体" w:cs="宋体"/>
          <w:sz w:val="24"/>
        </w:rPr>
        <w:t> </w:t>
      </w:r>
    </w:p>
    <w:p>
      <w:pPr>
        <w:spacing w:line="260" w:lineRule="exact"/>
        <w:rPr>
          <w:rFonts w:ascii="宋体" w:hAnsi="宋体" w:cs="宋体"/>
          <w:sz w:val="24"/>
        </w:rPr>
      </w:pPr>
      <w:r>
        <w:rPr>
          <w:rFonts w:hint="eastAsia" w:ascii="宋体" w:hAnsi="宋体" w:cs="宋体"/>
          <w:sz w:val="24"/>
          <w:lang w:val="en-US" w:eastAsia="zh-CN"/>
        </w:rPr>
        <w:t>（一）</w:t>
      </w:r>
      <w:r>
        <w:rPr>
          <w:rFonts w:ascii="宋体" w:hAnsi="宋体" w:cs="宋体"/>
          <w:sz w:val="24"/>
        </w:rPr>
        <w:t>半月维保项目（内容）和要求</w:t>
      </w:r>
      <w:r>
        <w:rPr>
          <w:rFonts w:hint="eastAsia" w:ascii="宋体" w:hAnsi="宋体" w:cs="宋体"/>
          <w:sz w:val="24"/>
        </w:rPr>
        <w:t>，</w:t>
      </w:r>
      <w:r>
        <w:rPr>
          <w:rFonts w:ascii="宋体" w:hAnsi="宋体" w:cs="宋体"/>
          <w:sz w:val="24"/>
        </w:rPr>
        <w:t>见表</w:t>
      </w:r>
      <w:r>
        <w:rPr>
          <w:rFonts w:hint="eastAsia" w:ascii="宋体" w:hAnsi="宋体" w:cs="宋体"/>
          <w:sz w:val="24"/>
        </w:rPr>
        <w:t>A</w:t>
      </w:r>
      <w:r>
        <w:rPr>
          <w:rFonts w:ascii="宋体" w:hAnsi="宋体" w:cs="宋体"/>
          <w:sz w:val="24"/>
        </w:rPr>
        <w:t>-1。</w:t>
      </w:r>
    </w:p>
    <w:p>
      <w:pPr>
        <w:spacing w:line="260" w:lineRule="exact"/>
        <w:jc w:val="right"/>
        <w:rPr>
          <w:rFonts w:ascii="宋体" w:hAnsi="宋体" w:cs="宋体"/>
          <w:sz w:val="24"/>
        </w:rPr>
      </w:pPr>
      <w:r>
        <w:rPr>
          <w:rFonts w:ascii="宋体" w:hAnsi="宋体" w:cs="宋体"/>
          <w:sz w:val="24"/>
        </w:rPr>
        <w:t>            表</w:t>
      </w:r>
      <w:r>
        <w:rPr>
          <w:rFonts w:hint="eastAsia" w:ascii="宋体" w:hAnsi="宋体" w:cs="宋体"/>
          <w:sz w:val="24"/>
        </w:rPr>
        <w:t>A-1</w:t>
      </w:r>
      <w:r>
        <w:rPr>
          <w:rFonts w:ascii="宋体" w:hAnsi="宋体" w:cs="宋体"/>
          <w:sz w:val="24"/>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156"/>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维保项目（内容）</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电器部件</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清洁，接线有效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电子板</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信号功能正常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杂物和垃圾</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清扫，清洁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设备运行状况</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正常，没有异响和抖动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主驱动链</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制动机械装置</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制动检测开关</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制动触点</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减速机润滑油</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油量适宜，无渗油。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电机通风口</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检修控制装置</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自动润滑油罐油位</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油位正常，润滑系统工作正常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梳齿板开关</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梳齿板照明</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梳齿板梳齿与踏板面齿槽、导向胶带</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梳齿板完好无损，梳齿板梳齿与踏板面齿槽、导向胶带啮合正常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梯级或者踏板下陷开关</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梯级链张紧开关</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位置正确，动作正常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梯身上部三角档板</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有效，无破损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梯级滚轮和梯级导轨</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梯级、踏板与围裙板</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任一侧水平间隙符合标准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运行方向显示</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扶手带入口处保护开关</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动作灵活可靠，清除入口处垃圾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扶手带</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表面无毛刺，无机械损伤，出口入处居中，运行无摩擦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扶手带运行</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速度正常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扶手护壁板</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26</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上下出入口处的照明</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27</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上下出入口和扶梯之间保护栏杆</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出入口安全警示标志</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齐全、醒目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29</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分离机房、各驱动和转向站</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30</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自动运行功能</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w:t>
            </w:r>
          </w:p>
        </w:tc>
        <w:tc>
          <w:tcPr>
            <w:tcW w:w="185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急停开关</w:t>
            </w:r>
          </w:p>
        </w:tc>
        <w:tc>
          <w:tcPr>
            <w:tcW w:w="272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工作正常</w:t>
            </w:r>
          </w:p>
        </w:tc>
      </w:tr>
    </w:tbl>
    <w:p>
      <w:pPr>
        <w:spacing w:line="530" w:lineRule="exact"/>
        <w:ind w:firstLine="641"/>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（二）月度维保项目（内容）和要求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月度维保项目（内容）和要求除应符合A1的要求外，还应符合表A-2的要求。</w:t>
      </w:r>
    </w:p>
    <w:p>
      <w:pPr>
        <w:spacing w:line="260" w:lineRule="exact"/>
        <w:jc w:val="right"/>
        <w:rPr>
          <w:rFonts w:hint="eastAsia"/>
          <w:lang w:val="en-US" w:eastAsia="zh-CN"/>
        </w:rPr>
      </w:pPr>
      <w:r>
        <w:rPr>
          <w:rFonts w:ascii="宋体" w:hAnsi="宋体" w:cs="宋体"/>
          <w:sz w:val="24"/>
        </w:rPr>
        <w:t>表</w:t>
      </w:r>
      <w:r>
        <w:rPr>
          <w:rFonts w:hint="eastAsia" w:ascii="宋体" w:hAnsi="宋体" w:cs="宋体"/>
          <w:sz w:val="24"/>
        </w:rPr>
        <w:t>A-</w:t>
      </w:r>
      <w:r>
        <w:rPr>
          <w:rFonts w:ascii="宋体" w:hAnsi="宋体" w:cs="宋体"/>
          <w:sz w:val="24"/>
        </w:rPr>
        <w:t>2 </w:t>
      </w:r>
    </w:p>
    <w:tbl>
      <w:tblPr>
        <w:tblStyle w:val="5"/>
        <w:tblpPr w:leftFromText="180" w:rightFromText="180" w:vertAnchor="text" w:horzAnchor="page" w:tblpX="1770" w:tblpY="25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158"/>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维保项目（内容）</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减速机润滑油</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油量适宜，无渗油。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电机通风口</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检修控制装置</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自动润滑油罐油位</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油位正常，润滑系统工作正常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梳齿板开关</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梳齿板照明</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梯级链润滑</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运行工况正常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5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制动衬厚度</w:t>
            </w:r>
          </w:p>
        </w:tc>
        <w:tc>
          <w:tcPr>
            <w:tcW w:w="272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不小于制造单位要求</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（三）季度维保项目（内容）和要求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季度维保项目（内容）和要求除应符合A2的要求外，还应符合表A-3的要求。</w:t>
      </w:r>
    </w:p>
    <w:p>
      <w:pPr>
        <w:spacing w:line="260" w:lineRule="exact"/>
        <w:ind w:right="480"/>
        <w:jc w:val="right"/>
        <w:rPr>
          <w:rFonts w:ascii="宋体" w:hAnsi="宋体" w:cs="宋体"/>
          <w:sz w:val="24"/>
        </w:rPr>
      </w:pPr>
      <w:r>
        <w:rPr>
          <w:rFonts w:ascii="宋体" w:hAnsi="宋体" w:cs="宋体"/>
          <w:sz w:val="24"/>
        </w:rPr>
        <w:t>表</w:t>
      </w:r>
      <w:r>
        <w:rPr>
          <w:rFonts w:hint="eastAsia" w:ascii="宋体" w:hAnsi="宋体" w:cs="宋体"/>
          <w:sz w:val="24"/>
        </w:rPr>
        <w:t>A-3</w:t>
      </w:r>
      <w:r>
        <w:rPr>
          <w:rFonts w:ascii="宋体" w:hAnsi="宋体" w:cs="宋体"/>
          <w:sz w:val="24"/>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167"/>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5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维保项目（内容）</w:t>
            </w:r>
          </w:p>
        </w:tc>
        <w:tc>
          <w:tcPr>
            <w:tcW w:w="2720"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5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扶手带的运行速度</w:t>
            </w:r>
          </w:p>
        </w:tc>
        <w:tc>
          <w:tcPr>
            <w:tcW w:w="2720"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相对于梯级、踏板或者胶带的速度允差为0～＋2％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5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梯级链张紧装置</w:t>
            </w:r>
          </w:p>
        </w:tc>
        <w:tc>
          <w:tcPr>
            <w:tcW w:w="2720"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5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梯级轴衬</w:t>
            </w:r>
          </w:p>
        </w:tc>
        <w:tc>
          <w:tcPr>
            <w:tcW w:w="2720"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润滑有效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5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梯级链润滑</w:t>
            </w:r>
          </w:p>
        </w:tc>
        <w:tc>
          <w:tcPr>
            <w:tcW w:w="2720"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运行工况正常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58"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防灌水保护装置</w:t>
            </w:r>
          </w:p>
        </w:tc>
        <w:tc>
          <w:tcPr>
            <w:tcW w:w="2720"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动作可靠（雨季到来之前必须完成）</w:t>
            </w:r>
          </w:p>
        </w:tc>
      </w:tr>
    </w:tbl>
    <w:p>
      <w:pPr>
        <w:spacing w:line="260" w:lineRule="exact"/>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（四） 半年维保项目（内容）和要求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半年维保项目（内容）和要求除应符合A3的要求外，还应符合表A-4的要求。</w:t>
      </w:r>
    </w:p>
    <w:p>
      <w:pPr>
        <w:spacing w:line="260" w:lineRule="exact"/>
        <w:ind w:right="720"/>
        <w:jc w:val="right"/>
        <w:rPr>
          <w:rFonts w:ascii="宋体" w:hAnsi="宋体" w:cs="宋体"/>
          <w:sz w:val="24"/>
        </w:rPr>
      </w:pPr>
      <w:r>
        <w:rPr>
          <w:rFonts w:ascii="宋体" w:hAnsi="宋体" w:cs="宋体"/>
          <w:sz w:val="24"/>
        </w:rPr>
        <w:t>表</w:t>
      </w:r>
      <w:r>
        <w:rPr>
          <w:rFonts w:hint="eastAsia" w:ascii="宋体" w:hAnsi="宋体" w:cs="宋体"/>
          <w:sz w:val="24"/>
        </w:rPr>
        <w:t>A-4</w:t>
      </w:r>
      <w:r>
        <w:rPr>
          <w:rFonts w:ascii="宋体" w:hAnsi="宋体" w:cs="宋体"/>
          <w:sz w:val="24"/>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3414"/>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维保项目（内容）</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制动衬厚度</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不小于制造单位要求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主驱动链</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清理表面油污，润滑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主驱动链链条滑块</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清洁，厚度符合标准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空载向下运行制动距离</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制动器机械装置</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润滑，工作有效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附加制动器</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清洁和润滑，功能可靠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减速机润滑油</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更换，符合制造单位的要求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调整梳齿板梳齿与踏板面齿槽啮合深度和间隙</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扶手带张紧度张紧弹簧负荷长度</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扶手带速度监控器系统</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003"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梯级踏板加热装置</w:t>
            </w:r>
          </w:p>
        </w:tc>
        <w:tc>
          <w:tcPr>
            <w:tcW w:w="2575" w:type="pct"/>
            <w:vAlign w:val="center"/>
          </w:tcPr>
          <w:p>
            <w:pPr>
              <w:spacing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功能正常，温度感应器接线牢固（冬季到来之前必须完成）</w:t>
            </w:r>
          </w:p>
        </w:tc>
      </w:tr>
    </w:tbl>
    <w:p>
      <w:pPr>
        <w:spacing w:line="260" w:lineRule="exact"/>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（五）年度维保项目（内容）和要求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年度维保项目（内容）和要求除应符合A4的要求外，还应符合表A-5的要求。</w:t>
      </w:r>
    </w:p>
    <w:p>
      <w:pPr>
        <w:spacing w:line="260" w:lineRule="exact"/>
        <w:ind w:right="720"/>
        <w:jc w:val="right"/>
        <w:rPr>
          <w:rFonts w:ascii="宋体" w:hAnsi="宋体" w:cs="宋体"/>
          <w:sz w:val="24"/>
        </w:rPr>
      </w:pPr>
      <w:r>
        <w:rPr>
          <w:rFonts w:ascii="宋体" w:hAnsi="宋体" w:cs="宋体"/>
          <w:sz w:val="24"/>
        </w:rPr>
        <w:t>表</w:t>
      </w:r>
      <w:r>
        <w:rPr>
          <w:rFonts w:hint="eastAsia" w:ascii="宋体" w:hAnsi="宋体" w:cs="宋体"/>
          <w:sz w:val="24"/>
        </w:rPr>
        <w:t>A-5</w:t>
      </w:r>
      <w:r>
        <w:rPr>
          <w:rFonts w:ascii="宋体" w:hAnsi="宋体" w:cs="宋体"/>
          <w:sz w:val="24"/>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3189"/>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维保项目（内容）</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主接触器</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主机速度检测功能</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功能可靠，清洁感应面，感应间隙符合制造单位要求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电缆</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无破损，固定牢固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扶手带托轮、滑轮群、防静电轮</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轮清洁，无损伤，托轮转动平滑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扶手带内侧凸缘处</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无损伤，清洁扶手导轨滑动面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扶手带断带保护开关</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扶手带导向块和导向轮</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清洁，工作正常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在进入梳齿板处的梯级与导轮的轴向窜动量</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内外盖板连接</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紧密牢固，连接处的凸台、缝隙符合标准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围裙板安全开关</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围裙板对接处</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紧密平滑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电气安全装置</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871"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设备运行状况</w:t>
            </w:r>
          </w:p>
        </w:tc>
        <w:tc>
          <w:tcPr>
            <w:tcW w:w="2707" w:type="pct"/>
            <w:vAlign w:val="center"/>
          </w:tcPr>
          <w:p>
            <w:pPr>
              <w:spacing w:line="2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正常，梯级运行平稳，无异常抖动，无异响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2" w:type="pct"/>
            <w:vAlign w:val="center"/>
          </w:tcPr>
          <w:p>
            <w:pPr>
              <w:spacing w:line="260" w:lineRule="exact"/>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w:t>
            </w:r>
          </w:p>
        </w:tc>
        <w:tc>
          <w:tcPr>
            <w:tcW w:w="1871" w:type="pct"/>
            <w:vAlign w:val="center"/>
          </w:tcPr>
          <w:p>
            <w:pPr>
              <w:spacing w:line="26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年度特检</w:t>
            </w:r>
          </w:p>
        </w:tc>
        <w:tc>
          <w:tcPr>
            <w:tcW w:w="2707" w:type="pct"/>
            <w:vAlign w:val="center"/>
          </w:tcPr>
          <w:p>
            <w:pPr>
              <w:spacing w:line="26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设备检测达标并出具检测证书或报告</w:t>
            </w:r>
          </w:p>
        </w:tc>
      </w:tr>
    </w:tbl>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1、如果某些扶梯／人行道没有表中的项目（内容），如有的扶梯／人行道不含有某种部件，项目（内容）可适当进行调整：</w:t>
      </w:r>
    </w:p>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2、维保项目（内容）和要求中对测试、试验有明确规定的，应当按照规定进行测试、试验，没有明确规定，一般为检查、调整、清洁和润滑；</w:t>
      </w:r>
    </w:p>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3、维保基本要求，规定为“符合标准”的，有国家标准应当符合国家标准，没有国家标准的应当符合行业标准、企业标准；</w:t>
      </w:r>
    </w:p>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4、维保基本要求，规定为“制造单位要求”的，按照制造单位的要求，其他没有明确的“要求”，应当为安全技术规范、标准或者制造单位等的要求。</w:t>
      </w:r>
    </w:p>
    <w:p>
      <w:pPr>
        <w:spacing w:line="530" w:lineRule="exact"/>
        <w:jc w:val="left"/>
        <w:rPr>
          <w:rFonts w:hint="default" w:ascii="宋体" w:hAnsi="宋体" w:eastAsia="宋体" w:cs="宋体"/>
          <w:sz w:val="24"/>
          <w:szCs w:val="24"/>
          <w:lang w:val="en-US" w:eastAsia="zh-CN"/>
        </w:rPr>
      </w:pPr>
      <w:r>
        <w:rPr>
          <w:rFonts w:hint="eastAsia" w:ascii="宋体" w:hAnsi="宋体" w:cs="宋体"/>
          <w:sz w:val="24"/>
          <w:lang w:val="en-US" w:eastAsia="zh-CN"/>
        </w:rPr>
        <w:t>（六）</w:t>
      </w:r>
      <w:r>
        <w:rPr>
          <w:rFonts w:hint="eastAsia" w:ascii="宋体" w:hAnsi="宋体" w:eastAsia="宋体" w:cs="宋体"/>
          <w:sz w:val="24"/>
          <w:szCs w:val="24"/>
          <w:lang w:val="en-US" w:eastAsia="zh-CN"/>
        </w:rPr>
        <w:t>配件清单：</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79"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序号</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配件名称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轴套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2</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锥套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3</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梯节塌陷开关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4</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停止按钮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5</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扶手带入口开关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6</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梳齿板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7</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上、下基坑急停按钮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8</w:t>
            </w:r>
          </w:p>
        </w:tc>
        <w:tc>
          <w:tcPr>
            <w:tcW w:w="3520" w:type="pct"/>
            <w:vAlign w:val="center"/>
          </w:tcPr>
          <w:p>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基坑照明灯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pct"/>
            <w:vAlign w:val="center"/>
          </w:tcPr>
          <w:p>
            <w:pPr>
              <w:spacing w:line="260" w:lineRule="exact"/>
              <w:jc w:val="center"/>
              <w:rPr>
                <w:rFonts w:hint="eastAsia" w:ascii="宋体" w:hAnsi="宋体" w:cs="宋体" w:eastAsiaTheme="minorEastAsia"/>
                <w:bCs/>
                <w:sz w:val="24"/>
                <w:lang w:val="en-US" w:eastAsia="zh-CN"/>
              </w:rPr>
            </w:pPr>
            <w:r>
              <w:rPr>
                <w:rFonts w:hint="eastAsia" w:ascii="宋体" w:hAnsi="宋体" w:cs="宋体"/>
                <w:bCs/>
                <w:sz w:val="24"/>
                <w:lang w:val="en-US" w:eastAsia="zh-CN"/>
              </w:rPr>
              <w:t>9</w:t>
            </w:r>
          </w:p>
        </w:tc>
        <w:tc>
          <w:tcPr>
            <w:tcW w:w="3520" w:type="pct"/>
            <w:vAlign w:val="center"/>
          </w:tcPr>
          <w:p>
            <w:pPr>
              <w:spacing w:line="260" w:lineRule="exact"/>
              <w:jc w:val="center"/>
              <w:rPr>
                <w:rFonts w:hint="eastAsia" w:ascii="宋体" w:hAnsi="宋体" w:cs="宋体" w:eastAsiaTheme="minorEastAsia"/>
                <w:bCs/>
                <w:sz w:val="24"/>
                <w:lang w:eastAsia="zh-CN"/>
              </w:rPr>
            </w:pPr>
            <w:r>
              <w:rPr>
                <w:rFonts w:hint="eastAsia" w:ascii="宋体" w:hAnsi="宋体" w:cs="宋体"/>
                <w:bCs/>
                <w:sz w:val="24"/>
                <w:lang w:eastAsia="zh-CN"/>
              </w:rPr>
              <w:t>开关传感器</w:t>
            </w:r>
          </w:p>
        </w:tc>
      </w:tr>
    </w:tbl>
    <w:p>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备注：以上配件价格在300元以下（含300元）由投标人免费负责更换。</w:t>
      </w:r>
    </w:p>
    <w:p>
      <w:pPr>
        <w:spacing w:line="600" w:lineRule="exact"/>
        <w:ind w:firstLine="640"/>
        <w:rPr>
          <w:rFonts w:hint="default" w:ascii="黑体" w:hAnsi="黑体" w:eastAsia="黑体" w:cs="黑体"/>
          <w:bCs/>
          <w:sz w:val="32"/>
          <w:szCs w:val="32"/>
        </w:rPr>
      </w:pPr>
    </w:p>
    <w:p>
      <w:pPr>
        <w:spacing w:line="600" w:lineRule="exact"/>
        <w:ind w:firstLine="640"/>
        <w:rPr>
          <w:rFonts w:hint="default" w:ascii="黑体" w:hAnsi="黑体" w:eastAsia="黑体" w:cs="黑体"/>
          <w:bCs/>
          <w:sz w:val="32"/>
          <w:szCs w:val="32"/>
        </w:rPr>
      </w:pPr>
    </w:p>
    <w:p>
      <w:pPr>
        <w:spacing w:line="600" w:lineRule="exact"/>
        <w:ind w:firstLine="640"/>
        <w:rPr>
          <w:rFonts w:hint="default" w:ascii="黑体" w:hAnsi="黑体" w:eastAsia="黑体" w:cs="黑体"/>
          <w:bCs/>
          <w:sz w:val="32"/>
          <w:szCs w:val="32"/>
        </w:rPr>
      </w:pPr>
    </w:p>
    <w:p>
      <w:pPr>
        <w:spacing w:line="600" w:lineRule="exact"/>
        <w:ind w:firstLine="640"/>
        <w:rPr>
          <w:rFonts w:hint="default" w:ascii="黑体" w:hAnsi="黑体" w:eastAsia="黑体" w:cs="黑体"/>
          <w:bCs/>
          <w:sz w:val="32"/>
          <w:szCs w:val="32"/>
        </w:rPr>
      </w:pPr>
    </w:p>
    <w:p>
      <w:pPr>
        <w:spacing w:line="600" w:lineRule="exact"/>
        <w:ind w:firstLine="640"/>
        <w:rPr>
          <w:rFonts w:hint="default" w:ascii="黑体" w:hAnsi="黑体" w:eastAsia="黑体" w:cs="黑体"/>
          <w:bCs/>
          <w:sz w:val="32"/>
          <w:szCs w:val="32"/>
        </w:rPr>
      </w:pPr>
    </w:p>
    <w:p>
      <w:pPr>
        <w:spacing w:line="600" w:lineRule="exact"/>
        <w:ind w:firstLine="640"/>
        <w:rPr>
          <w:rFonts w:hint="default" w:ascii="黑体" w:hAnsi="黑体" w:eastAsia="黑体" w:cs="黑体"/>
          <w:bCs/>
          <w:sz w:val="32"/>
          <w:szCs w:val="32"/>
        </w:rPr>
      </w:pP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22"/>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sz w:val="22"/>
                        <w:szCs w:val="22"/>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76604"/>
    <w:multiLevelType w:val="singleLevel"/>
    <w:tmpl w:val="1D176604"/>
    <w:lvl w:ilvl="0" w:tentative="0">
      <w:start w:val="2"/>
      <w:numFmt w:val="chineseCounting"/>
      <w:suff w:val="nothing"/>
      <w:lvlText w:val="%1、"/>
      <w:lvlJc w:val="left"/>
      <w:rPr>
        <w:rFonts w:hint="eastAsia"/>
      </w:rPr>
    </w:lvl>
  </w:abstractNum>
  <w:abstractNum w:abstractNumId="1">
    <w:nsid w:val="4FDF5B76"/>
    <w:multiLevelType w:val="singleLevel"/>
    <w:tmpl w:val="4FDF5B76"/>
    <w:lvl w:ilvl="0" w:tentative="0">
      <w:start w:val="5"/>
      <w:numFmt w:val="chineseCounting"/>
      <w:suff w:val="nothing"/>
      <w:lvlText w:val="%1、"/>
      <w:lvlJc w:val="left"/>
      <w:pPr>
        <w:ind w:left="-11"/>
      </w:pPr>
      <w:rPr>
        <w:rFonts w:hint="eastAsia"/>
      </w:rPr>
    </w:lvl>
  </w:abstractNum>
  <w:abstractNum w:abstractNumId="2">
    <w:nsid w:val="5A785834"/>
    <w:multiLevelType w:val="singleLevel"/>
    <w:tmpl w:val="5A78583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mI4NTJjYTk5Nzc4OTMwMjg2MWYzMDE0ZDgwMDcifQ=="/>
  </w:docVars>
  <w:rsids>
    <w:rsidRoot w:val="00FF723E"/>
    <w:rsid w:val="0015451B"/>
    <w:rsid w:val="001B7FFE"/>
    <w:rsid w:val="00304CEF"/>
    <w:rsid w:val="0060362A"/>
    <w:rsid w:val="00642D5D"/>
    <w:rsid w:val="006C6F5F"/>
    <w:rsid w:val="006F1891"/>
    <w:rsid w:val="00716510"/>
    <w:rsid w:val="00853107"/>
    <w:rsid w:val="00860541"/>
    <w:rsid w:val="008C7E13"/>
    <w:rsid w:val="009A1AC7"/>
    <w:rsid w:val="00B34C87"/>
    <w:rsid w:val="00B454C1"/>
    <w:rsid w:val="00CC08D4"/>
    <w:rsid w:val="00DA6F5F"/>
    <w:rsid w:val="00DE5ADA"/>
    <w:rsid w:val="00EB3A5C"/>
    <w:rsid w:val="00F100B3"/>
    <w:rsid w:val="00F83EDE"/>
    <w:rsid w:val="00FF35A5"/>
    <w:rsid w:val="00FF723E"/>
    <w:rsid w:val="0310312D"/>
    <w:rsid w:val="041F078A"/>
    <w:rsid w:val="07670786"/>
    <w:rsid w:val="08803584"/>
    <w:rsid w:val="088B31A0"/>
    <w:rsid w:val="08AA3D8F"/>
    <w:rsid w:val="09FC50B7"/>
    <w:rsid w:val="0B907F82"/>
    <w:rsid w:val="0BF64289"/>
    <w:rsid w:val="0C142961"/>
    <w:rsid w:val="0CD95414"/>
    <w:rsid w:val="0F1113DA"/>
    <w:rsid w:val="0FAB7138"/>
    <w:rsid w:val="11445E97"/>
    <w:rsid w:val="125515DD"/>
    <w:rsid w:val="128B14A3"/>
    <w:rsid w:val="12F157AA"/>
    <w:rsid w:val="147C5547"/>
    <w:rsid w:val="18C06AE6"/>
    <w:rsid w:val="1BE26FFE"/>
    <w:rsid w:val="200816F5"/>
    <w:rsid w:val="20C73761"/>
    <w:rsid w:val="219537A4"/>
    <w:rsid w:val="228E7026"/>
    <w:rsid w:val="229677D4"/>
    <w:rsid w:val="243A0633"/>
    <w:rsid w:val="25396B3D"/>
    <w:rsid w:val="26084E8D"/>
    <w:rsid w:val="298C1931"/>
    <w:rsid w:val="2A1738F0"/>
    <w:rsid w:val="2BCF3D57"/>
    <w:rsid w:val="2C245E51"/>
    <w:rsid w:val="2F982804"/>
    <w:rsid w:val="300A1801"/>
    <w:rsid w:val="329035C9"/>
    <w:rsid w:val="348A4CBF"/>
    <w:rsid w:val="35753BC1"/>
    <w:rsid w:val="3598340C"/>
    <w:rsid w:val="36154A5C"/>
    <w:rsid w:val="36A007CA"/>
    <w:rsid w:val="370A20E7"/>
    <w:rsid w:val="372B603D"/>
    <w:rsid w:val="381C543B"/>
    <w:rsid w:val="383E64EC"/>
    <w:rsid w:val="385173A8"/>
    <w:rsid w:val="388F0AF6"/>
    <w:rsid w:val="3A751F6D"/>
    <w:rsid w:val="3AD11549"/>
    <w:rsid w:val="3BF95E4D"/>
    <w:rsid w:val="3C17152E"/>
    <w:rsid w:val="3E226E00"/>
    <w:rsid w:val="3E751D39"/>
    <w:rsid w:val="409475F1"/>
    <w:rsid w:val="40C81049"/>
    <w:rsid w:val="411029F0"/>
    <w:rsid w:val="419D4818"/>
    <w:rsid w:val="438A4CDB"/>
    <w:rsid w:val="4413082D"/>
    <w:rsid w:val="44C63AF1"/>
    <w:rsid w:val="470B7EE1"/>
    <w:rsid w:val="470C1365"/>
    <w:rsid w:val="47855EE6"/>
    <w:rsid w:val="4AAA7A11"/>
    <w:rsid w:val="4ABD7744"/>
    <w:rsid w:val="4B0E1D4E"/>
    <w:rsid w:val="4B412124"/>
    <w:rsid w:val="4B657181"/>
    <w:rsid w:val="4BDA2C2F"/>
    <w:rsid w:val="51952171"/>
    <w:rsid w:val="5700749D"/>
    <w:rsid w:val="579E08FE"/>
    <w:rsid w:val="58993733"/>
    <w:rsid w:val="59A71EDA"/>
    <w:rsid w:val="5A264158"/>
    <w:rsid w:val="5B9718EC"/>
    <w:rsid w:val="5CF138A4"/>
    <w:rsid w:val="5D0805F4"/>
    <w:rsid w:val="5D563589"/>
    <w:rsid w:val="5E082F75"/>
    <w:rsid w:val="5E55457C"/>
    <w:rsid w:val="5F1119B5"/>
    <w:rsid w:val="5F483E34"/>
    <w:rsid w:val="6109328C"/>
    <w:rsid w:val="61D90EB0"/>
    <w:rsid w:val="631D6B7A"/>
    <w:rsid w:val="641937E6"/>
    <w:rsid w:val="652A1A23"/>
    <w:rsid w:val="68210EBB"/>
    <w:rsid w:val="68264723"/>
    <w:rsid w:val="683D0FB0"/>
    <w:rsid w:val="68A5389A"/>
    <w:rsid w:val="6E5F030A"/>
    <w:rsid w:val="6E95615F"/>
    <w:rsid w:val="7007308C"/>
    <w:rsid w:val="72A921D9"/>
    <w:rsid w:val="74DA2B1D"/>
    <w:rsid w:val="755A5A0C"/>
    <w:rsid w:val="786F5C73"/>
    <w:rsid w:val="787578C7"/>
    <w:rsid w:val="790C3ACB"/>
    <w:rsid w:val="799534B7"/>
    <w:rsid w:val="7A236D15"/>
    <w:rsid w:val="7B542EFE"/>
    <w:rsid w:val="7CCA3975"/>
    <w:rsid w:val="7D16490F"/>
    <w:rsid w:val="7F8F6BFA"/>
    <w:rsid w:val="DFBF37C7"/>
    <w:rsid w:val="F37A3F53"/>
    <w:rsid w:val="FFFB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hAnsi="宋体" w:eastAsia="仿宋_GB2312"/>
      <w:b/>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6189</Words>
  <Characters>6390</Characters>
  <Lines>34</Lines>
  <Paragraphs>9</Paragraphs>
  <TotalTime>10</TotalTime>
  <ScaleCrop>false</ScaleCrop>
  <LinksUpToDate>false</LinksUpToDate>
  <CharactersWithSpaces>6452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2022-04-14T04:30:00Z</dcterms:created>
  <dc:creator>未定义</dc:creator>
  <cp:lastModifiedBy>kylin</cp:lastModifiedBy>
  <cp:lastPrinted>2023-03-23T08:20:00Z</cp:lastPrinted>
  <dcterms:modified xsi:type="dcterms:W3CDTF">2025-03-28T15:03:44Z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38B3118BA33740DEA4A3FC4C49414B5F</vt:lpwstr>
  </property>
</Properties>
</file>