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7008">
      <w:pPr>
        <w:pStyle w:val="3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5B3AEB48">
      <w:pPr>
        <w:spacing w:line="600" w:lineRule="exact"/>
        <w:jc w:val="center"/>
        <w:rPr>
          <w:rFonts w:hint="default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eastAsia="zh-CN"/>
        </w:rPr>
        <w:t>天津市人民政府政务服务办公室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2025年度</w:t>
      </w:r>
    </w:p>
    <w:p w14:paraId="42F32A6E">
      <w:pPr>
        <w:spacing w:line="600" w:lineRule="exact"/>
        <w:jc w:val="center"/>
        <w:rPr>
          <w:rFonts w:hint="eastAsia" w:ascii="方正小标宋简体" w:hAns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eastAsia="zh-CN"/>
        </w:rPr>
        <w:t>网站监测服务项目</w:t>
      </w:r>
      <w:r>
        <w:rPr>
          <w:rFonts w:hint="default" w:ascii="方正小标宋简体" w:hAnsi="方正小标宋简体" w:eastAsia="方正小标宋简体"/>
          <w:spacing w:val="-10"/>
          <w:sz w:val="44"/>
          <w:szCs w:val="44"/>
        </w:rPr>
        <w:t>需求书</w:t>
      </w:r>
    </w:p>
    <w:p w14:paraId="2946791B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3A23CC7A">
      <w:pPr>
        <w:spacing w:line="580" w:lineRule="exact"/>
        <w:ind w:firstLine="641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、项目简介</w:t>
      </w:r>
    </w:p>
    <w:p w14:paraId="5AF85BCD">
      <w:pPr>
        <w:spacing w:line="580" w:lineRule="exact"/>
        <w:ind w:firstLine="64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为进一步加强和完善市政务服务办网站日常管理和常态化监测工作，促进网站更新及时、内容丰富、资源全面、安全运行，拟通过政府购买服务方式，由专业技术团队对市政务服务办网站进行监测。</w:t>
      </w:r>
    </w:p>
    <w:p w14:paraId="47DB088F">
      <w:pPr>
        <w:numPr>
          <w:ilvl w:val="0"/>
          <w:numId w:val="1"/>
        </w:numPr>
        <w:spacing w:line="580" w:lineRule="exact"/>
        <w:ind w:firstLine="64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资格要求</w:t>
      </w:r>
    </w:p>
    <w:p w14:paraId="1E10AF69">
      <w:pPr>
        <w:pStyle w:val="7"/>
        <w:ind w:firstLine="640"/>
      </w:pPr>
      <w:r>
        <w:rPr>
          <w:rFonts w:hint="eastAsia"/>
        </w:rPr>
        <w:t>（一）供应商需满足《中华人民共和国政府采购法》第二十二条规定；</w:t>
      </w:r>
    </w:p>
    <w:p w14:paraId="7F9452CE">
      <w:pPr>
        <w:pStyle w:val="7"/>
        <w:ind w:firstLine="640"/>
      </w:pPr>
      <w:r>
        <w:rPr>
          <w:rFonts w:hint="eastAsia"/>
        </w:rPr>
        <w:t>（二）供应商须具有独立法人资格，提供营业执照副本</w:t>
      </w:r>
      <w:r>
        <w:rPr>
          <w:rFonts w:hint="eastAsia"/>
          <w:lang w:eastAsia="zh-CN"/>
        </w:rPr>
        <w:t>或法人登记证书</w:t>
      </w:r>
      <w:r>
        <w:rPr>
          <w:rFonts w:hint="eastAsia"/>
        </w:rPr>
        <w:t>复印件并加盖公章；</w:t>
      </w:r>
    </w:p>
    <w:p w14:paraId="6950E83C">
      <w:pPr>
        <w:pStyle w:val="7"/>
        <w:ind w:firstLine="640"/>
      </w:pPr>
      <w:r>
        <w:rPr>
          <w:rFonts w:hint="eastAsia"/>
        </w:rPr>
        <w:t>（三）供应商须提供相应的从业</w:t>
      </w:r>
      <w:r>
        <w:rPr>
          <w:rFonts w:hint="eastAsia"/>
          <w:lang w:eastAsia="zh-CN"/>
        </w:rPr>
        <w:t>经验的</w:t>
      </w:r>
      <w:r>
        <w:rPr>
          <w:rFonts w:hint="eastAsia"/>
        </w:rPr>
        <w:t>证明</w:t>
      </w:r>
      <w:r>
        <w:rPr>
          <w:rFonts w:hint="eastAsia"/>
          <w:lang w:eastAsia="zh-CN"/>
        </w:rPr>
        <w:t>材料</w:t>
      </w:r>
      <w:r>
        <w:rPr>
          <w:rFonts w:hint="eastAsia"/>
        </w:rPr>
        <w:t>并加盖公章；</w:t>
      </w:r>
    </w:p>
    <w:p w14:paraId="28DC01A2">
      <w:pPr>
        <w:pStyle w:val="7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</w:rPr>
        <w:t>（四）本项目不接受联合体投标；</w:t>
      </w:r>
    </w:p>
    <w:p w14:paraId="4C294C26"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三、采购预算及结算方式</w:t>
      </w:r>
    </w:p>
    <w:p w14:paraId="525C378D">
      <w:pPr>
        <w:spacing w:line="580" w:lineRule="exact"/>
        <w:ind w:firstLine="64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（1）项目预算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sz w:val="32"/>
          <w:szCs w:val="32"/>
        </w:rPr>
        <w:t>万</w:t>
      </w:r>
      <w:r>
        <w:rPr>
          <w:rFonts w:ascii="Times New Roman" w:hAnsi="Times New Roman" w:eastAsia="仿宋_GB2312"/>
          <w:sz w:val="32"/>
          <w:szCs w:val="32"/>
        </w:rPr>
        <w:t>元。</w:t>
      </w:r>
    </w:p>
    <w:p w14:paraId="2AF5CAD0">
      <w:pPr>
        <w:spacing w:line="580" w:lineRule="exact"/>
        <w:ind w:firstLine="641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（2）结算方式：签订合同后支付总款的</w:t>
      </w:r>
      <w:r>
        <w:rPr>
          <w:rFonts w:hint="default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/>
          <w:sz w:val="32"/>
          <w:szCs w:val="32"/>
        </w:rPr>
        <w:t>%；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合同签订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3个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月后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乙方能够正常履约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并经甲方验收合格后</w:t>
      </w:r>
      <w:r>
        <w:rPr>
          <w:rFonts w:hint="default" w:ascii="Times New Roman" w:hAnsi="Times New Roman" w:eastAsia="仿宋_GB2312"/>
          <w:sz w:val="32"/>
          <w:szCs w:val="32"/>
        </w:rPr>
        <w:t>，支付总款的60%；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服务期满，甲方验收合格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后</w:t>
      </w:r>
      <w:r>
        <w:rPr>
          <w:rFonts w:hint="default" w:ascii="Times New Roman" w:hAnsi="Times New Roman" w:eastAsia="仿宋_GB2312"/>
          <w:sz w:val="32"/>
          <w:szCs w:val="32"/>
        </w:rPr>
        <w:t>，支付总款的10%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382CDFF">
      <w:pPr>
        <w:spacing w:line="580" w:lineRule="exact"/>
        <w:ind w:firstLine="641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四、服务要求</w:t>
      </w:r>
    </w:p>
    <w:p w14:paraId="036AA4EC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监测方式</w:t>
      </w:r>
      <w:r>
        <w:rPr>
          <w:rFonts w:hint="eastAsia"/>
          <w:sz w:val="32"/>
          <w:szCs w:val="32"/>
        </w:rPr>
        <w:t>。采取“软件+人工”的方式，</w:t>
      </w:r>
      <w:r>
        <w:rPr>
          <w:rFonts w:hint="eastAsia"/>
          <w:sz w:val="32"/>
          <w:szCs w:val="32"/>
          <w:lang w:eastAsia="zh-CN"/>
        </w:rPr>
        <w:t>对市政务服务办全办网站（包括所属事业单位网站）进行监测，</w:t>
      </w:r>
      <w:r>
        <w:rPr>
          <w:rFonts w:hint="eastAsia"/>
          <w:sz w:val="32"/>
          <w:szCs w:val="32"/>
        </w:rPr>
        <w:t>监测系统进行数据初次采集后，由</w:t>
      </w:r>
      <w:r>
        <w:rPr>
          <w:rFonts w:hint="eastAsia"/>
          <w:sz w:val="32"/>
          <w:szCs w:val="32"/>
          <w:lang w:eastAsia="zh-CN"/>
        </w:rPr>
        <w:t>专人对</w:t>
      </w:r>
      <w:r>
        <w:rPr>
          <w:rFonts w:hint="eastAsia"/>
          <w:sz w:val="32"/>
          <w:szCs w:val="32"/>
        </w:rPr>
        <w:t>数据进行二次审核，</w:t>
      </w:r>
      <w:r>
        <w:rPr>
          <w:rFonts w:hint="eastAsia"/>
          <w:sz w:val="32"/>
          <w:szCs w:val="32"/>
          <w:lang w:eastAsia="zh-CN"/>
        </w:rPr>
        <w:t>避免</w:t>
      </w:r>
      <w:r>
        <w:rPr>
          <w:rFonts w:hint="eastAsia"/>
          <w:sz w:val="32"/>
          <w:szCs w:val="32"/>
        </w:rPr>
        <w:t>出现误报、少报等现象，确保监测数据的真实、准确、客观。</w:t>
      </w:r>
    </w:p>
    <w:p w14:paraId="6FACB97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  <w:lang w:eastAsia="zh-CN"/>
        </w:rPr>
        <w:t>监测内容。按照</w:t>
      </w:r>
      <w:r>
        <w:rPr>
          <w:rFonts w:hint="eastAsia"/>
        </w:rPr>
        <w:t>《国务院办公厅秘书局关于印发政府网站与政务新媒体检查指标、监管工作年度考核指标的通知》（国办秘函〔2019〕19号）及本市对政府网站内容建设具体要求</w:t>
      </w:r>
      <w:r>
        <w:rPr>
          <w:rFonts w:hint="eastAsia"/>
          <w:lang w:eastAsia="zh-CN"/>
        </w:rPr>
        <w:t>，包括但不限于网站栏目设置规范合理性，栏目内发布信息恰当性，内容更新及时性，发布内容是否存在政治性错误及错别字等。</w:t>
      </w:r>
    </w:p>
    <w:p w14:paraId="7FBF3AE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3.问题预警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  <w:lang w:eastAsia="zh-CN"/>
        </w:rPr>
        <w:t>对网站</w:t>
      </w:r>
      <w:r>
        <w:rPr>
          <w:rFonts w:hint="eastAsia" w:ascii="仿宋_GB2312" w:eastAsia="仿宋_GB2312"/>
          <w:sz w:val="32"/>
          <w:szCs w:val="32"/>
        </w:rPr>
        <w:t>进行实时动态监测</w:t>
      </w:r>
      <w:r>
        <w:rPr>
          <w:rFonts w:hint="eastAsia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配置网站监控预警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发现问题后</w:t>
      </w:r>
      <w:r>
        <w:rPr>
          <w:rFonts w:hint="eastAsia"/>
          <w:sz w:val="32"/>
          <w:szCs w:val="32"/>
          <w:lang w:val="en-US" w:eastAsia="zh-CN"/>
        </w:rPr>
        <w:t>1小时</w:t>
      </w:r>
      <w:r>
        <w:rPr>
          <w:rFonts w:hint="eastAsia"/>
          <w:sz w:val="32"/>
          <w:szCs w:val="32"/>
        </w:rPr>
        <w:t>内通过</w:t>
      </w:r>
      <w:r>
        <w:rPr>
          <w:rFonts w:hint="eastAsia"/>
          <w:sz w:val="32"/>
          <w:szCs w:val="32"/>
          <w:lang w:eastAsia="zh-CN"/>
        </w:rPr>
        <w:t>电话、短信等方式</w:t>
      </w:r>
      <w:r>
        <w:rPr>
          <w:rFonts w:hint="eastAsia"/>
          <w:sz w:val="32"/>
          <w:szCs w:val="32"/>
        </w:rPr>
        <w:t>进行预警推送。</w:t>
      </w:r>
      <w:r>
        <w:rPr>
          <w:rFonts w:hint="eastAsia"/>
          <w:sz w:val="32"/>
          <w:szCs w:val="32"/>
          <w:lang w:eastAsia="zh-CN"/>
        </w:rPr>
        <w:t>预警后指导甲方针对问题进行整改，并对问题进行回头看，检查是否整改到位。</w:t>
      </w:r>
    </w:p>
    <w:p w14:paraId="36ECA89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  <w:lang w:eastAsia="zh-CN"/>
        </w:rPr>
        <w:t>监测月报。每月前5个工作日，根据《国务院办公厅秘书局关于印发政府网站与政务新媒体检查指标、监管工作年度考核指标的通知》（国办秘函〔2019〕19号）及本市对政府网站内容建设具体要求分析汇总，并结合网站信息发布及阅读情况形成月报告。</w:t>
      </w:r>
    </w:p>
    <w:p w14:paraId="739F2B6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服务期</w:t>
      </w:r>
    </w:p>
    <w:p w14:paraId="07DDC44A">
      <w:pPr>
        <w:pStyle w:val="7"/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自合同签订之日起</w:t>
      </w:r>
      <w:r>
        <w:rPr>
          <w:rFonts w:hint="default" w:ascii="Times New Roman" w:hAnsi="Times New Roman" w:cs="Times New Roman"/>
        </w:rPr>
        <w:t>1年。</w:t>
      </w:r>
    </w:p>
    <w:p w14:paraId="558F2FA4">
      <w:pPr>
        <w:spacing w:line="580" w:lineRule="exact"/>
        <w:ind w:firstLine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成交方式</w:t>
      </w:r>
    </w:p>
    <w:p w14:paraId="00111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项目采用综合评分法，资格要求审查合格，按得分由高到低顺序确定成交候选供应商；得分相同的，按投标报价由低到高顺序确定成交候选供应商；得分且投标报价相同的，按技术指标优劣顺序确定成交候选供应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696"/>
        <w:gridCol w:w="5540"/>
        <w:gridCol w:w="835"/>
      </w:tblGrid>
      <w:tr w14:paraId="59D5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7" w:type="dxa"/>
            <w:gridSpan w:val="3"/>
            <w:vAlign w:val="center"/>
          </w:tcPr>
          <w:p w14:paraId="476E1282"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评标标准及因素</w:t>
            </w:r>
          </w:p>
        </w:tc>
        <w:tc>
          <w:tcPr>
            <w:tcW w:w="835" w:type="dxa"/>
            <w:vAlign w:val="center"/>
          </w:tcPr>
          <w:p w14:paraId="2DDDFA0F"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5C1E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dxa"/>
            <w:vAlign w:val="center"/>
          </w:tcPr>
          <w:p w14:paraId="4E740276"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6" w:type="dxa"/>
            <w:vAlign w:val="center"/>
          </w:tcPr>
          <w:p w14:paraId="6B7A1D8D"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价格</w:t>
            </w:r>
          </w:p>
        </w:tc>
        <w:tc>
          <w:tcPr>
            <w:tcW w:w="5540" w:type="dxa"/>
            <w:vAlign w:val="center"/>
          </w:tcPr>
          <w:p w14:paraId="5F76CED5">
            <w:pPr>
              <w:widowControl/>
              <w:snapToGrid w:val="0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（1）投标报价超过采购预算的，投标无效，未超过采购预算的投标报价按以下公式进行计算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21F00525">
            <w:pPr>
              <w:widowControl/>
              <w:snapToGrid w:val="0"/>
              <w:rPr>
                <w:rFonts w:hint="default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（2）投标报价得分=（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1-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|（投标人报价 - 基准价）|÷ 基准价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×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）×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20；</w:t>
            </w:r>
          </w:p>
          <w:p w14:paraId="7DA9712A">
            <w:pPr>
              <w:widowControl/>
              <w:snapToGrid w:val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注：满足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本项目需求书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要求的投标报价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平均值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为评标基准价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835" w:type="dxa"/>
            <w:vAlign w:val="center"/>
          </w:tcPr>
          <w:p w14:paraId="221FD72D">
            <w:pPr>
              <w:widowControl/>
              <w:snapToGrid w:val="0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1910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dxa"/>
            <w:vAlign w:val="center"/>
          </w:tcPr>
          <w:p w14:paraId="1B45844D">
            <w:pPr>
              <w:widowControl/>
              <w:snapToGrid w:val="0"/>
              <w:jc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6" w:type="dxa"/>
            <w:vAlign w:val="center"/>
          </w:tcPr>
          <w:p w14:paraId="2C8C1E55">
            <w:pPr>
              <w:jc w:val="center"/>
              <w:rPr>
                <w:bCs/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供应商履约能力</w:t>
            </w:r>
          </w:p>
        </w:tc>
        <w:tc>
          <w:tcPr>
            <w:tcW w:w="5540" w:type="dxa"/>
            <w:vAlign w:val="center"/>
          </w:tcPr>
          <w:p w14:paraId="4A1778FB">
            <w:pPr>
              <w:widowControl/>
              <w:snapToGrid w:val="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按照以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下要求提</w:t>
            </w:r>
            <w:r>
              <w:rPr>
                <w:rFonts w:hint="default"/>
                <w:color w:val="000000"/>
                <w:kern w:val="0"/>
                <w:sz w:val="28"/>
                <w:szCs w:val="28"/>
              </w:rPr>
              <w:t>供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网站监测服务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的业绩，提供的证明材料均不得遮挡涂黑，否则不予认定加分。具体要求如下：</w:t>
            </w:r>
          </w:p>
          <w:p w14:paraId="7EF1AD51">
            <w:pPr>
              <w:widowControl/>
              <w:snapToGrid w:val="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合同扫描件，包括合同金额、买卖双方名称及盖章、服务内容、合同签订时间（应为20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年1月1日或以后）。</w:t>
            </w:r>
          </w:p>
          <w:p w14:paraId="7993E681">
            <w:pPr>
              <w:widowControl/>
              <w:snapToGrid w:val="0"/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每个业绩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分，最多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835" w:type="dxa"/>
            <w:vAlign w:val="center"/>
          </w:tcPr>
          <w:p w14:paraId="0F4B10AB">
            <w:pPr>
              <w:widowControl/>
              <w:snapToGrid w:val="0"/>
              <w:jc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15分</w:t>
            </w:r>
          </w:p>
        </w:tc>
      </w:tr>
      <w:tr w14:paraId="4E38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51" w:type="dxa"/>
            <w:vAlign w:val="center"/>
          </w:tcPr>
          <w:p w14:paraId="1BA212C6">
            <w:pPr>
              <w:snapToGrid w:val="0"/>
              <w:jc w:val="center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3</w:t>
            </w:r>
          </w:p>
        </w:tc>
        <w:tc>
          <w:tcPr>
            <w:tcW w:w="1696" w:type="dxa"/>
            <w:vAlign w:val="center"/>
          </w:tcPr>
          <w:p w14:paraId="328B96BF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需求分析</w:t>
            </w:r>
          </w:p>
        </w:tc>
        <w:tc>
          <w:tcPr>
            <w:tcW w:w="5540" w:type="dxa"/>
            <w:vAlign w:val="center"/>
          </w:tcPr>
          <w:p w14:paraId="5E39E4B5">
            <w:pPr>
              <w:numPr>
                <w:ilvl w:val="0"/>
                <w:numId w:val="0"/>
              </w:num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1.对项目背景及采购人实际需求理解清晰，分析透彻，得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10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分；</w:t>
            </w:r>
          </w:p>
          <w:p w14:paraId="4606AC1E">
            <w:pPr>
              <w:numPr>
                <w:ilvl w:val="0"/>
                <w:numId w:val="0"/>
              </w:num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2.对项目背景及采购人实际需求理解较清晰，分析较透彻，得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7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分；</w:t>
            </w:r>
          </w:p>
          <w:p w14:paraId="1E19DED6">
            <w:pPr>
              <w:numPr>
                <w:ilvl w:val="0"/>
                <w:numId w:val="0"/>
              </w:num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3.对项目背景及采购人实际需求理解一般，分析不透彻，得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4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分；</w:t>
            </w:r>
          </w:p>
          <w:p w14:paraId="019886D0">
            <w:pPr>
              <w:numPr>
                <w:ilvl w:val="0"/>
                <w:numId w:val="0"/>
              </w:num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未提供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此项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的，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0分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 xml:space="preserve">。                    </w:t>
            </w:r>
          </w:p>
        </w:tc>
        <w:tc>
          <w:tcPr>
            <w:tcW w:w="835" w:type="dxa"/>
            <w:vAlign w:val="center"/>
          </w:tcPr>
          <w:p w14:paraId="0AFFAF24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41EC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51" w:type="dxa"/>
            <w:vAlign w:val="center"/>
          </w:tcPr>
          <w:p w14:paraId="7036E950">
            <w:pPr>
              <w:snapToGrid w:val="0"/>
              <w:jc w:val="center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4</w:t>
            </w:r>
          </w:p>
        </w:tc>
        <w:tc>
          <w:tcPr>
            <w:tcW w:w="1696" w:type="dxa"/>
            <w:vAlign w:val="center"/>
          </w:tcPr>
          <w:p w14:paraId="0F69F088">
            <w:pPr>
              <w:snapToGrid w:val="0"/>
              <w:jc w:val="center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项目总体方案</w:t>
            </w:r>
          </w:p>
        </w:tc>
        <w:tc>
          <w:tcPr>
            <w:tcW w:w="5540" w:type="dxa"/>
            <w:vAlign w:val="center"/>
          </w:tcPr>
          <w:p w14:paraId="039D40F8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1.总体描述详细、清晰，科学、合理，思路先进，得</w:t>
            </w:r>
            <w:r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5分；</w:t>
            </w:r>
          </w:p>
          <w:p w14:paraId="256FD715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2.方案描述清晰程度较好，设计较合理，针对性较强，得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 xml:space="preserve">10分； </w:t>
            </w:r>
          </w:p>
          <w:p w14:paraId="568A681D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3.方案描述清晰程度一般，设计基本合理，针对性一般，得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 xml:space="preserve">5分； </w:t>
            </w:r>
          </w:p>
          <w:p w14:paraId="0F1A1DD9">
            <w:pPr>
              <w:snapToGrid w:val="0"/>
              <w:rPr>
                <w:rFonts w:hint="default"/>
                <w:lang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未提供方案的，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0分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。</w:t>
            </w:r>
          </w:p>
        </w:tc>
        <w:tc>
          <w:tcPr>
            <w:tcW w:w="835" w:type="dxa"/>
            <w:vAlign w:val="center"/>
          </w:tcPr>
          <w:p w14:paraId="093B8C11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</w:tr>
      <w:tr w14:paraId="5C48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51" w:type="dxa"/>
            <w:vAlign w:val="center"/>
          </w:tcPr>
          <w:p w14:paraId="526CA3BE">
            <w:pPr>
              <w:snapToGrid w:val="0"/>
              <w:jc w:val="center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696" w:type="dxa"/>
            <w:vAlign w:val="center"/>
          </w:tcPr>
          <w:p w14:paraId="10E82901">
            <w:pPr>
              <w:snapToGrid w:val="0"/>
              <w:jc w:val="center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突发事件应急和处理方案</w:t>
            </w:r>
          </w:p>
        </w:tc>
        <w:tc>
          <w:tcPr>
            <w:tcW w:w="5540" w:type="dxa"/>
            <w:vAlign w:val="center"/>
          </w:tcPr>
          <w:p w14:paraId="170C7BDF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结合本项目要求，提供详细的方案</w:t>
            </w:r>
          </w:p>
          <w:p w14:paraId="12B6FB01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1.方案安排合理，切实完全可行：10分；</w:t>
            </w:r>
          </w:p>
          <w:p w14:paraId="62CA16D4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2.方案安排较合理，可行性较好：7分；</w:t>
            </w:r>
          </w:p>
          <w:p w14:paraId="0B2EE4F3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3.方案安排一般合理，可行性一般：4分 ；未提供方案的，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0分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。</w:t>
            </w:r>
          </w:p>
        </w:tc>
        <w:tc>
          <w:tcPr>
            <w:tcW w:w="835" w:type="dxa"/>
            <w:vAlign w:val="center"/>
          </w:tcPr>
          <w:p w14:paraId="0E23186B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5B2F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51" w:type="dxa"/>
            <w:vAlign w:val="center"/>
          </w:tcPr>
          <w:p w14:paraId="45D5D842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6</w:t>
            </w:r>
          </w:p>
        </w:tc>
        <w:tc>
          <w:tcPr>
            <w:tcW w:w="1696" w:type="dxa"/>
            <w:vAlign w:val="center"/>
          </w:tcPr>
          <w:p w14:paraId="1BEA36D9">
            <w:pPr>
              <w:pStyle w:val="3"/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本地化服务能力</w:t>
            </w:r>
          </w:p>
        </w:tc>
        <w:tc>
          <w:tcPr>
            <w:tcW w:w="5540" w:type="dxa"/>
            <w:vAlign w:val="center"/>
          </w:tcPr>
          <w:p w14:paraId="1EDC195C">
            <w:pPr>
              <w:snapToGrid w:val="0"/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 xml:space="preserve">供应商在天津市注册或在天津市范围内设有办事处及办事人员，具备本地化服务能力及媒体资源优势的：得5分 </w:t>
            </w: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。</w:t>
            </w:r>
          </w:p>
          <w:p w14:paraId="6D43D5B1">
            <w:pPr>
              <w:snapToGrid w:val="0"/>
              <w:rPr>
                <w:rFonts w:hint="default"/>
                <w:lang w:eastAsia="zh-CN"/>
              </w:rPr>
            </w:pPr>
            <w:r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注：须提供营业执照或租赁协议、其他证明文件及说明，未提供的不予认定。</w:t>
            </w:r>
          </w:p>
        </w:tc>
        <w:tc>
          <w:tcPr>
            <w:tcW w:w="835" w:type="dxa"/>
            <w:vAlign w:val="center"/>
          </w:tcPr>
          <w:p w14:paraId="7205265F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</w:tr>
      <w:tr w14:paraId="59B0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51" w:type="dxa"/>
            <w:vAlign w:val="center"/>
          </w:tcPr>
          <w:p w14:paraId="70DCE96B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1696" w:type="dxa"/>
            <w:vAlign w:val="center"/>
          </w:tcPr>
          <w:p w14:paraId="1775625E">
            <w:pPr>
              <w:snapToGrid w:val="0"/>
              <w:jc w:val="center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kern w:val="2"/>
                <w:sz w:val="28"/>
                <w:szCs w:val="28"/>
                <w:lang w:val="en-US" w:eastAsia="zh-CN" w:bidi="ar-SA"/>
              </w:rPr>
              <w:t>组织措施和安全保密方案</w:t>
            </w:r>
          </w:p>
        </w:tc>
        <w:tc>
          <w:tcPr>
            <w:tcW w:w="5540" w:type="dxa"/>
            <w:vAlign w:val="center"/>
          </w:tcPr>
          <w:p w14:paraId="33DB842B">
            <w:pPr>
              <w:snapToGrid w:val="0"/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根据本项目采购需求提供组织措施和安全保密方案</w:t>
            </w:r>
            <w:r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。</w:t>
            </w:r>
          </w:p>
          <w:p w14:paraId="53743821">
            <w:pPr>
              <w:snapToGrid w:val="0"/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方案完全切实可行，针对性、可操作性很强：</w:t>
            </w:r>
            <w:r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 xml:space="preserve">15 分 </w:t>
            </w: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；</w:t>
            </w:r>
          </w:p>
          <w:p w14:paraId="0E3C77D1">
            <w:pPr>
              <w:snapToGrid w:val="0"/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方案可行性较好，针对性、可操作性较合理：</w:t>
            </w:r>
            <w:r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 xml:space="preserve">10分 </w:t>
            </w: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；</w:t>
            </w:r>
          </w:p>
          <w:p w14:paraId="4D8E933D">
            <w:pPr>
              <w:snapToGrid w:val="0"/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方案可行性一般，针对性、可操作性一般：</w:t>
            </w:r>
            <w:r>
              <w:rPr>
                <w:rFonts w:hint="default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5 分</w:t>
            </w:r>
            <w:r>
              <w:rPr>
                <w:rFonts w:hint="eastAsia" w:eastAsia="宋体" w:cs="Times New Roman"/>
                <w:bCs/>
                <w:color w:val="000000"/>
                <w:sz w:val="28"/>
                <w:szCs w:val="24"/>
                <w:lang w:val="en-US" w:eastAsia="zh-CN"/>
              </w:rPr>
              <w:t>；</w:t>
            </w:r>
          </w:p>
          <w:p w14:paraId="3EB7E345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未提供方案的，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得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0分</w:t>
            </w: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。</w:t>
            </w:r>
          </w:p>
        </w:tc>
        <w:tc>
          <w:tcPr>
            <w:tcW w:w="835" w:type="dxa"/>
            <w:vAlign w:val="center"/>
          </w:tcPr>
          <w:p w14:paraId="693E6A01">
            <w:pPr>
              <w:snapToGrid w:val="0"/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15分</w:t>
            </w:r>
          </w:p>
        </w:tc>
      </w:tr>
      <w:tr w14:paraId="10C2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51" w:type="dxa"/>
            <w:vAlign w:val="center"/>
          </w:tcPr>
          <w:p w14:paraId="64CDE981">
            <w:pPr>
              <w:snapToGrid w:val="0"/>
              <w:rPr>
                <w:rFonts w:hint="eastAsia" w:ascii="Calibri" w:hAnsi="Calibri" w:eastAsia="宋体" w:cs="Times New Roman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8</w:t>
            </w:r>
          </w:p>
        </w:tc>
        <w:tc>
          <w:tcPr>
            <w:tcW w:w="1696" w:type="dxa"/>
            <w:vAlign w:val="center"/>
          </w:tcPr>
          <w:p w14:paraId="26F36B2C">
            <w:pPr>
              <w:snapToGrid w:val="0"/>
              <w:jc w:val="center"/>
              <w:rPr>
                <w:rFonts w:hint="default" w:ascii="Calibri" w:hAnsi="Calibri" w:eastAsia="宋体" w:cs="Times New Roman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服务承诺及质量保障措施</w:t>
            </w:r>
          </w:p>
        </w:tc>
        <w:tc>
          <w:tcPr>
            <w:tcW w:w="5540" w:type="dxa"/>
            <w:vAlign w:val="center"/>
          </w:tcPr>
          <w:p w14:paraId="67246FB6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1.服务承诺内容全面、切实可行，质量管理制度健全，保障措施全面，得</w:t>
            </w:r>
            <w:r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  <w:t>10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分；</w:t>
            </w:r>
          </w:p>
          <w:p w14:paraId="2F50D80E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2.服务承诺内容较全面、可行度较高，质量管理制度较健全，保障措施较全面，得</w:t>
            </w:r>
            <w:r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  <w:t>7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 xml:space="preserve">分； </w:t>
            </w:r>
          </w:p>
          <w:p w14:paraId="57840586">
            <w:pPr>
              <w:snapToGrid w:val="0"/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 w:val="28"/>
                <w:szCs w:val="24"/>
                <w:lang w:eastAsia="zh-CN"/>
              </w:rPr>
              <w:t>3.服务承诺内容不够全面、可行性一般，质量管理制度不够健全，保障措施不够全面，得</w:t>
            </w:r>
            <w:r>
              <w:rPr>
                <w:rFonts w:hint="default"/>
                <w:bCs/>
                <w:color w:val="000000"/>
                <w:sz w:val="28"/>
                <w:szCs w:val="24"/>
                <w:lang w:val="en-US" w:eastAsia="zh-CN"/>
              </w:rPr>
              <w:t>4</w:t>
            </w: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 xml:space="preserve">分； </w:t>
            </w:r>
          </w:p>
          <w:p w14:paraId="32ED9D53">
            <w:pPr>
              <w:snapToGrid w:val="0"/>
              <w:rPr>
                <w:rFonts w:hint="eastAsia" w:ascii="Calibri" w:hAnsi="Calibri" w:eastAsia="宋体" w:cs="Times New Roman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  <w:t>未提供</w:t>
            </w:r>
            <w:r>
              <w:rPr>
                <w:rFonts w:hint="default" w:cs="Times New Roman"/>
                <w:b w:val="0"/>
                <w:bCs/>
                <w:color w:val="000000"/>
                <w:kern w:val="2"/>
                <w:sz w:val="28"/>
                <w:szCs w:val="24"/>
                <w:lang w:eastAsia="zh-CN" w:bidi="ar-SA"/>
              </w:rPr>
              <w:t>此项</w:t>
            </w:r>
            <w:r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  <w:t>的，</w:t>
            </w:r>
            <w:r>
              <w:rPr>
                <w:rFonts w:hint="default" w:cs="Times New Roman"/>
                <w:b w:val="0"/>
                <w:bCs/>
                <w:color w:val="000000"/>
                <w:kern w:val="2"/>
                <w:sz w:val="28"/>
                <w:szCs w:val="24"/>
                <w:lang w:eastAsia="zh-CN" w:bidi="ar-SA"/>
              </w:rPr>
              <w:t>得</w:t>
            </w:r>
            <w:r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  <w:t>0分</w:t>
            </w:r>
            <w:r>
              <w:rPr>
                <w:rFonts w:hint="default" w:cs="Times New Roman"/>
                <w:b w:val="0"/>
                <w:bCs/>
                <w:color w:val="000000"/>
                <w:kern w:val="2"/>
                <w:sz w:val="28"/>
                <w:szCs w:val="24"/>
                <w:lang w:eastAsia="zh-CN" w:bidi="ar-SA"/>
              </w:rPr>
              <w:t>。</w:t>
            </w:r>
          </w:p>
        </w:tc>
        <w:tc>
          <w:tcPr>
            <w:tcW w:w="835" w:type="dxa"/>
            <w:vAlign w:val="center"/>
          </w:tcPr>
          <w:p w14:paraId="089FF69D">
            <w:pPr>
              <w:snapToGrid w:val="0"/>
              <w:rPr>
                <w:rFonts w:hint="eastAsia" w:ascii="Calibri" w:hAnsi="Calibri" w:eastAsia="宋体" w:cs="Times New Roman"/>
                <w:bCs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  <w:lang w:val="en-US" w:eastAsia="zh-CN"/>
              </w:rPr>
              <w:t>10分</w:t>
            </w:r>
          </w:p>
        </w:tc>
      </w:tr>
    </w:tbl>
    <w:p w14:paraId="4A320B86">
      <w:pPr>
        <w:widowControl/>
        <w:snapToGrid w:val="0"/>
        <w:jc w:val="center"/>
        <w:rPr>
          <w:rFonts w:hint="eastAsia"/>
          <w:color w:val="000000"/>
          <w:kern w:val="0"/>
          <w:sz w:val="28"/>
          <w:szCs w:val="28"/>
          <w:lang w:eastAsia="zh-CN"/>
        </w:rPr>
      </w:pPr>
    </w:p>
    <w:p w14:paraId="598462D4">
      <w:pPr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 w14:paraId="77B2981C">
      <w:pPr>
        <w:pStyle w:val="3"/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BDF8">
    <w:pPr>
      <w:tabs>
        <w:tab w:val="center" w:pos="4153"/>
        <w:tab w:val="right" w:pos="8306"/>
      </w:tabs>
      <w:jc w:val="center"/>
      <w:rPr>
        <w:rFonts w:ascii="宋体" w:hAnsi="宋体" w:eastAsia="宋体" w:cs="宋体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E93F5"/>
    <w:multiLevelType w:val="singleLevel"/>
    <w:tmpl w:val="867E93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176604"/>
    <w:multiLevelType w:val="singleLevel"/>
    <w:tmpl w:val="1D1766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4MjYwOGMxNDBkZmZiMjY4OWQ4ZWE5MDIyOTI5ODUifQ=="/>
  </w:docVars>
  <w:rsids>
    <w:rsidRoot w:val="00000000"/>
    <w:rsid w:val="0C130102"/>
    <w:rsid w:val="0C4E6A5B"/>
    <w:rsid w:val="0DDD5ADE"/>
    <w:rsid w:val="16AF07A6"/>
    <w:rsid w:val="16D43DC5"/>
    <w:rsid w:val="1EF26ABF"/>
    <w:rsid w:val="22973864"/>
    <w:rsid w:val="2316746F"/>
    <w:rsid w:val="24D931C0"/>
    <w:rsid w:val="298A504E"/>
    <w:rsid w:val="29AD6201"/>
    <w:rsid w:val="2A554419"/>
    <w:rsid w:val="32FA307C"/>
    <w:rsid w:val="3A641BC7"/>
    <w:rsid w:val="3A7E48A3"/>
    <w:rsid w:val="3EAB0813"/>
    <w:rsid w:val="3FEF1DF4"/>
    <w:rsid w:val="48757D4A"/>
    <w:rsid w:val="53E30B7F"/>
    <w:rsid w:val="57162DB5"/>
    <w:rsid w:val="585C0292"/>
    <w:rsid w:val="606A7D1B"/>
    <w:rsid w:val="65F09D54"/>
    <w:rsid w:val="660773BC"/>
    <w:rsid w:val="6B491134"/>
    <w:rsid w:val="6BBEF0AD"/>
    <w:rsid w:val="77F5B892"/>
    <w:rsid w:val="7C5BEAB4"/>
    <w:rsid w:val="7E7D3AF8"/>
    <w:rsid w:val="7F1DF1D9"/>
    <w:rsid w:val="7FB7472F"/>
    <w:rsid w:val="7FF64F28"/>
    <w:rsid w:val="A8326073"/>
    <w:rsid w:val="B23F81E6"/>
    <w:rsid w:val="BEFE31A5"/>
    <w:rsid w:val="CFDFE27A"/>
    <w:rsid w:val="DAE779B9"/>
    <w:rsid w:val="DEFBDE27"/>
    <w:rsid w:val="DF3DEB6B"/>
    <w:rsid w:val="DFF11416"/>
    <w:rsid w:val="E3DF14D2"/>
    <w:rsid w:val="E77F0A58"/>
    <w:rsid w:val="EAFF6344"/>
    <w:rsid w:val="EFC7CAAA"/>
    <w:rsid w:val="F7F7E449"/>
    <w:rsid w:val="F8FF53B9"/>
    <w:rsid w:val="FE4A619F"/>
    <w:rsid w:val="FF77D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hAnsi="宋体" w:eastAsia="仿宋_GB2312"/>
      <w:b/>
      <w:sz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-正文"/>
    <w:basedOn w:val="1"/>
    <w:qFormat/>
    <w:uiPriority w:val="0"/>
    <w:pPr>
      <w:spacing w:line="579" w:lineRule="exact"/>
      <w:ind w:firstLine="112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1781</Words>
  <Characters>1832</Characters>
  <Lines>0</Lines>
  <Paragraphs>0</Paragraphs>
  <TotalTime>21</TotalTime>
  <ScaleCrop>false</ScaleCrop>
  <LinksUpToDate>false</LinksUpToDate>
  <CharactersWithSpaces>1867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田茂金</cp:lastModifiedBy>
  <cp:lastPrinted>2023-05-20T02:44:00Z</cp:lastPrinted>
  <dcterms:modified xsi:type="dcterms:W3CDTF">2025-11-05T01:07:38Z</dcterms:modified>
  <dc:title>天津市人民政府政务服务办公室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50C1C66599374A43940DDDB1C8E73FEE_12</vt:lpwstr>
  </property>
  <property fmtid="{D5CDD505-2E9C-101B-9397-08002B2CF9AE}" pid="4" name="KSOTemplateDocerSaveRecord">
    <vt:lpwstr>eyJoZGlkIjoiMWViOGEwNjRkYzljMDkwZWU1YTJmMWQ3ZTc2NTFmZjUiLCJ1c2VySWQiOiI0OTYzMDUwNzYifQ==</vt:lpwstr>
  </property>
</Properties>
</file>