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天津市人民政府政务服务办公室</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sectPr>
          <w:pgSz w:w="12240" w:h="15840"/>
          <w:pgMar w:top="1440" w:right="1800" w:bottom="1440" w:left="1800" w:header="720" w:footer="720" w:gutter="0"/>
          <w:cols w:space="720" w:num="1"/>
        </w:sect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hint="eastAsia" w:ascii="Times New Roman" w:hAnsi="Times New Roman" w:eastAsia="黑体" w:cs="黑体"/>
          <w:kern w:val="0"/>
          <w:sz w:val="30"/>
          <w:szCs w:val="30"/>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（一）贯彻执行国家有关政务服务、营商环境建设、公共资源交易管理等方面法律、法规、规章和方针、政策，研究起草有关地方性法规、政府规章草案和政策文件等，拟订相关地方性规范、标准并组织实施。</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（二）协调推动政务服务事项（含有关权责清单事项和公共服务事项）的具体实施，组织推动有关部门提供优质、规范、高效的政务服务。负责行政审批制度改革工作，推动审批和监管联动，提高政务服务效能。</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三）牵头推进政务服务标准化。组织推动有关部门对政务服务事项，按照国家推进审批服务标准化的有关要求，科学细化量化审批服务标准，编制标准化工作流程、规程和办事指南。牵头制定政务服务运行评价标准，建立相应监督评价机制并组织实施。</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（四）牵头组织推动减证便民行动。组织各部门全面清理各类无谓证明材料，依法减少各类繁琐环节和手续，对各类证明事项严格实行清单式管理。</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五）组织推行政务服务事项集中办理。推动政务服务“一门一网一次”一站式办理，建立健全部门联办机制。探索推行政务服务全程代办帮办服务机制，全面推行政务服务过程和结果公开公示，开展政务服务效能监督。</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六）牵头组织实施“互联网+政务服务”。会同有关部门组织拟订政务服务信息共享的种类、标准、范围、流程，协调推动部门政务服务联通共享、业务协同、网上办理。建设管理统一的政务服务咨询投诉处置回应平台。负责全市行政执法监督平台建设运行管理维护工作。</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七）牵头推动深化行政审批中介服务改革。组织有关部门减少不必要的行政审批中介服务事项，推动建立服务高效、公平竞争、运行规范、监督有力的审批中介服务市场，依托政务“一网通”平台。开展审批中介服务网上选取、应用管理，对政府部门委托开展的技术性服务活动进行监督。</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（八）组织推动建设市场化、法治化、国际化、便利化的营商环境，督促推动各部门落实改善营商环境政策措施，统筹协调和监督指导各部门营商环境建设工作。组织开展第三方评估评价。</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九）负责公共资源交易服务管理。负责公共资源交易平台整合的组织推动，统筹协调和指导相关工作。组织拟订公共资源交易服务管理细则、服务流程和规范标准。会同有关部门对公共资源交易平台运行服务机构进行监督检查和考核评价。</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（十）负责对各区优化政务服务、开展行政审批、推动审批和监管联动、加强营商环境建设进行指导督促。会同有关部门对进驻市级政务服务平台的部门工作人员进行教育管理和日常考核。</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（十一）负责在职责范围内为安全生产工作提供支持保障，推进安全生产发展。</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（十二）组织推动本领域招商引资工作。</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（十三）负责本系统人才队伍建设。</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（十四）承办市委、市政府交办的其他事项。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天津市人民政府政务服务办公室内设8个职能处室；下辖3个预算单位。纳入天津市人民政府政务服务办公室2023年度部门决算编制范围的单位包括：</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1.天津市人民政府政务服务办公室本级</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2.天津市人民政府政务服务办公室综合服务中心</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3.天津市便民专线服务中心</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4.天津市公共资源交易中心</w:t>
      </w:r>
    </w:p>
    <w:p>
      <w:pPr>
        <w:jc w:val="both"/>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黑体" w:cs="黑体"/>
          <w:b w:val="0"/>
          <w:bCs w:val="0"/>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1.天津市人民政府政务服务办公室</w:t>
      </w:r>
      <w:r>
        <w:rPr>
          <w:rFonts w:hint="eastAsia" w:ascii="Times New Roman" w:hAnsi="Times New Roman" w:eastAsia="仿宋_GB2312" w:cs="仿宋_GB2312"/>
          <w:sz w:val="30"/>
          <w:szCs w:val="30"/>
          <w:highlight w:val="none"/>
          <w:lang w:val="en-US" w:eastAsia="zh-CN"/>
        </w:rPr>
        <w:t>2023年度</w:t>
      </w:r>
      <w:r>
        <w:rPr>
          <w:rFonts w:hint="eastAsia" w:ascii="Times New Roman" w:hAnsi="Times New Roman" w:eastAsia="仿宋_GB2312" w:cs="仿宋_GB2312"/>
          <w:sz w:val="30"/>
          <w:szCs w:val="30"/>
          <w:highlight w:val="none"/>
          <w:lang w:eastAsia="zh-CN"/>
        </w:rPr>
        <w:t>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2.天津市人民政府政务服务办公室</w:t>
      </w:r>
      <w:r>
        <w:rPr>
          <w:rFonts w:hint="eastAsia" w:ascii="Times New Roman" w:hAnsi="Times New Roman" w:eastAsia="仿宋_GB2312" w:cs="仿宋_GB2312"/>
          <w:sz w:val="30"/>
          <w:szCs w:val="30"/>
          <w:highlight w:val="none"/>
          <w:lang w:val="en-US" w:eastAsia="zh-CN"/>
        </w:rPr>
        <w:t>2023年度</w:t>
      </w:r>
      <w:r>
        <w:rPr>
          <w:rFonts w:hint="eastAsia" w:ascii="Times New Roman" w:hAnsi="Times New Roman" w:eastAsia="仿宋_GB2312" w:cs="仿宋_GB2312"/>
          <w:sz w:val="30"/>
          <w:szCs w:val="30"/>
          <w:highlight w:val="none"/>
          <w:lang w:eastAsia="zh-CN"/>
        </w:rPr>
        <w:t>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一、收入支出决算总体情况说明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天津市人民政府政务服务办公室2023年度收入、支出决算总计</w:t>
      </w:r>
      <w:r>
        <w:rPr>
          <w:rFonts w:hint="eastAsia" w:ascii="Times New Roman" w:hAnsi="Times New Roman" w:eastAsia="仿宋_GB2312" w:cs="仿宋_GB2312"/>
          <w:sz w:val="30"/>
          <w:szCs w:val="30"/>
          <w:highlight w:val="none"/>
          <w:lang w:eastAsia="zh-CN"/>
        </w:rPr>
        <w:t>332,503,286.71元，与2022年度相比，收、支总计各增加133,955,802.25元，增长67.47%，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：一是年中追加“政务一网通”平台建设等项目经费；二是直属事业单位补充干部职工队伍，经费收支相应增加；三是本年度按照决算要求，将非财政拨款结余和专用结余纳入决算，统计口径变大。</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二、</w:t>
      </w:r>
      <w:r>
        <w:rPr>
          <w:rFonts w:hint="eastAsia" w:ascii="Times New Roman" w:hAnsi="Times New Roman" w:eastAsia="黑体" w:cs="黑体"/>
          <w:b w:val="0"/>
          <w:bCs w:val="0"/>
          <w:kern w:val="0"/>
          <w:sz w:val="30"/>
          <w:szCs w:val="30"/>
          <w:highlight w:val="none"/>
        </w:rPr>
        <w:t>收入决算情况</w:t>
      </w:r>
      <w:r>
        <w:rPr>
          <w:rFonts w:hint="eastAsia" w:ascii="Times New Roman" w:hAnsi="Times New Roman" w:eastAsia="黑体" w:cs="黑体"/>
          <w:b w:val="0"/>
          <w:bCs w:val="0"/>
          <w:kern w:val="0"/>
          <w:sz w:val="30"/>
          <w:szCs w:val="30"/>
          <w:highlight w:val="none"/>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天津市人民政府政务服务办公室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232,783,404.26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增加38,251,484.60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一是年中追加“政务一网通”平台建设等项目经费；二是直属事业单位补充干部职工队伍，经费收入相应增加；三是直属事业单位公共资源交易中心事业收入增加。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192,334,597.44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82.62</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37,165,354.62元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15.97%；</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3,283,452.20元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1.41%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三、支出</w:t>
      </w:r>
      <w:r>
        <w:rPr>
          <w:rFonts w:hint="eastAsia" w:ascii="Times New Roman" w:hAnsi="Times New Roman" w:eastAsia="黑体" w:cs="黑体"/>
          <w:b w:val="0"/>
          <w:bCs w:val="0"/>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天津市人民政府政务服务办公室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228,550,757.73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30,628,834.76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一是年中追加“政务一网通”平台建设等项目经费；二是直属事业单位补充干部职工队伍，经费支出相应增加。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188,664,961.74元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82.55</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39,885,795.99元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占17.45%。</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四、财政拨款收支决算总体情况说明</w:t>
      </w:r>
    </w:p>
    <w:p>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天津市人民政府政务服务办公室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192,334,597.44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20,483,605.29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11.92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一是年中追加“政务一网通”平台建设等项目经费；二是直属事业单位补充干部职工队伍，经费收入、支出相应增加。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天津市人民政府政务服务办公室2023年度部门决算一般公共预算财政拨款支出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计192,048,009.04元，占本年支出合计的84.03%，与2022年度相比，一般公共预算财政拨款支出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20,810,072.28元，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12.15%，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：一是年中追加“政务一网通”平台建设等项目经费；二是直属事业单位补充干部职工队伍，经费支出相应增加。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192,048,009.04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一般公共服务支出185,701,536.30元，占96.70%；社会保障和就业支出4,534,876.69元，占2.36%；卫生健康支1,811,596.05元，占0.94%。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178,169,000.00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192,048,009.04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107.79%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both"/>
        <w:rPr>
          <w:rFonts w:hint="eastAsia" w:ascii="Times New Roman" w:hAnsi="Times New Roman" w:eastAsia="黑体" w:cs="黑体"/>
          <w:b/>
          <w:bCs/>
          <w:kern w:val="0"/>
          <w:sz w:val="30"/>
          <w:szCs w:val="30"/>
          <w:highlight w:val="none"/>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1.一般公共服务支出（类）政府办公厅（室）及相关机构事务（款）行政运行（项）年初预算为19,913,000.00元，支出决算为19,575,629.53元，完成年初预算的98.31%，决算数小于年初预算数的主要原因是落实过紧日子要求，压减经费支出。</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2.一般公共服务支出（类）政府办公厅（室）及相关机构事务（款）机关服务（项）年初预算为1,845,000.00元，支出决算为2,101,354.72元，完成年初预算的113.89%，决算数大于年初预算数的主要原因是年中追加增人经费预算。</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3.一般公共服务支出（类）政府办公厅（室）及相关机构事务（款）政务公开审批（项）年初预算为30,076,000.00元，支出决算为39,885,795.99元，完成年初预算的132.62%，决算数大于年初预算数的主要原因是年中追加“政务一网通”平台建设等项目经费。</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4.一般公共服务支出（类）政府办公厅（室）及相关机构事务（款）事业运行（项）年初预算为120,123,000.00元，支出决算为124,138,756.06元，完成年初预算的103.34%，决算数大于年初预算数的主要原因是年中追加增人经费预算。</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5.社会保障和就业支出（类）行政事业单位养老支出（款）机关事业单位基本养老保险缴费支出（项）年初预算为2,913,000.00元，支出决算为3,023,291.65元，完成年初预算的103.79%，决算数大于年初预算数的主要原因是年中追加增人经费预算。</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6.社会保障和就业支出（类）行政事业单位养老支出（款）机关事业单位职业年金缴费支出（项）年初预算为1,458,000.00元，支出决算1,511,585.04元，完成年初预算的103.68%，决算数大于年初预算数的主要原因是年中追加增人经费预算。</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7.卫生健康支出（类）行政事业单位医疗（款）行政单位医疗（项）年初预算为816,000元，支出决算为765,089.36元，完成年初预算的93.76%，决算数小于年初预算数的主要原因是按实际支出执行，产生结余。</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8.卫生健康支出（类）行政事业单位医疗（款）事业单位医疗（项）年初预算为699,000.00元，支出决算为755,261.37元，完成年初预算的108.05%，决算数大于年初预算数的主要原因是年中追加增人经费预算。</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9.卫生健康支出（类）行政事业单位医疗（款）公务员医疗补助（项）年初预算为155,000.00元，支出决算为154,303.68元，完成年初预算的99.55%，决算数小于年初预算数的主要原因是按实际支出执行，产生结余。</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10.卫生健康支出（类）行政事业单位医疗（款）其他行政事业单位医疗支出（项）年初预算为171,000.00元，支出决算为136,941.64元，完成年初预算的80.08%，决算数小于年初预算数的主要原因是按实际支出执行，产生结余。</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六、一般公共预算财政拨款基本支出决算情况说明</w:t>
      </w:r>
    </w:p>
    <w:p>
      <w:pPr>
        <w:autoSpaceDE w:val="0"/>
        <w:autoSpaceDN w:val="0"/>
        <w:adjustRightInd w:val="0"/>
        <w:spacing w:line="600" w:lineRule="exact"/>
        <w:jc w:val="both"/>
        <w:rPr>
          <w:rFonts w:hint="eastAsia" w:ascii="Times New Roman" w:hAnsi="Times New Roman" w:eastAsia="仿宋_GB2312" w:cs="仿宋_GB2312"/>
          <w:kern w:val="0"/>
          <w:sz w:val="30"/>
          <w:szCs w:val="30"/>
          <w:highlight w:val="none"/>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天津市人民政府政务服务办公室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152,162,213.05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7,064,069.39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直属事业单位补充干部职工队伍，经费支出相应增加。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both"/>
        <w:rPr>
          <w:rFonts w:hint="eastAsia" w:ascii="Times New Roman" w:hAnsi="Times New Roman" w:eastAsia="黑体" w:cs="黑体"/>
          <w:b/>
          <w:bCs/>
          <w:kern w:val="0"/>
          <w:sz w:val="30"/>
          <w:szCs w:val="30"/>
          <w:highlight w:val="none"/>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124,393,437.33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退休费、医疗费补助、奖励金；</w:t>
      </w:r>
    </w:p>
    <w:p>
      <w:pPr>
        <w:autoSpaceDE w:val="0"/>
        <w:autoSpaceDN w:val="0"/>
        <w:adjustRightInd w:val="0"/>
        <w:spacing w:line="600" w:lineRule="exact"/>
        <w:jc w:val="both"/>
        <w:rPr>
          <w:rFonts w:hint="eastAsia" w:ascii="Times New Roman" w:hAnsi="Times New Roman" w:eastAsia="黑体" w:cs="黑体"/>
          <w:b/>
          <w:bCs/>
          <w:kern w:val="0"/>
          <w:sz w:val="30"/>
          <w:szCs w:val="30"/>
          <w:highlight w:val="none"/>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27,768,775.72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水费、电费、邮电费、取暖费、物业管理费、差旅费、维修(护)费、租赁费、培训费、公务接待费、劳务费、委托业务费、工会经费、福利费、公务用车运行维护费、其他交通费用、其他商品和服务支出、办公设备购置、信息网络及软件购置更新、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七、政府性基金预算财政拨款收支决算情况</w:t>
      </w:r>
    </w:p>
    <w:p>
      <w:pPr>
        <w:autoSpaceDE w:val="0"/>
        <w:autoSpaceDN w:val="0"/>
        <w:adjustRightInd w:val="0"/>
        <w:spacing w:line="60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天津市人民政府政务服务办公室2023年度无政府性基金预算财政拨款收入、支出和结转结余。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八、国有资本经营预算财政拨款收支决算情况说明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天津市人民政府政务服务办公室2023年度无国有资本经营预算财政拨款收入、支出和结转结余。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九、财政拨款</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三公</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经费</w:t>
      </w:r>
      <w:r>
        <w:rPr>
          <w:rFonts w:hint="eastAsia" w:ascii="Times New Roman" w:hAnsi="Times New Roman" w:eastAsia="黑体" w:cs="黑体"/>
          <w:b w:val="0"/>
          <w:bCs w:val="0"/>
          <w:kern w:val="0"/>
          <w:sz w:val="30"/>
          <w:szCs w:val="30"/>
          <w:highlight w:val="none"/>
          <w:lang w:val="zh-CN"/>
        </w:rPr>
        <w:t>支出决算</w:t>
      </w:r>
      <w:r>
        <w:rPr>
          <w:rFonts w:hint="eastAsia" w:ascii="Times New Roman" w:hAnsi="Times New Roman" w:eastAsia="黑体" w:cs="黑体"/>
          <w:b w:val="0"/>
          <w:bCs w:val="0"/>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97,300.00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65,259.72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32,040.28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67.07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19,207.77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41.71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外出调研增加，公务出行增多；外省学习调研增加，</w:t>
      </w:r>
      <w:r>
        <w:rPr>
          <w:rFonts w:hint="eastAsia" w:ascii="Times New Roman" w:hAnsi="Times New Roman" w:eastAsia="仿宋_GB2312" w:cs="仿宋_GB2312"/>
          <w:sz w:val="30"/>
          <w:szCs w:val="30"/>
          <w:highlight w:val="none"/>
          <w:lang w:eastAsia="zh-CN"/>
        </w:rPr>
        <w:t>公务接待同比增加。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71,800.00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57,537.72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14,262.28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80.14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11,485.77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24.94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落实过紧日子要求，严格控制公务用车运行维护费支出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外出调研增加，</w:t>
      </w:r>
      <w:r>
        <w:rPr>
          <w:rFonts w:hint="eastAsia" w:ascii="Times New Roman" w:hAnsi="Times New Roman" w:eastAsia="仿宋_GB2312" w:cs="仿宋_GB2312"/>
          <w:sz w:val="30"/>
          <w:szCs w:val="30"/>
          <w:highlight w:val="none"/>
          <w:lang w:eastAsia="zh-CN"/>
        </w:rPr>
        <w:t>公务出行业务量增多。</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71,800.00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57,537.72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14,262.28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80.14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11,485.77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24.94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落实过紧日子要求，严格控制公务用车运行维护费支出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外出调研增加，</w:t>
      </w:r>
      <w:r>
        <w:rPr>
          <w:rFonts w:hint="eastAsia" w:ascii="Times New Roman" w:hAnsi="Times New Roman" w:eastAsia="仿宋_GB2312" w:cs="仿宋_GB2312"/>
          <w:sz w:val="30"/>
          <w:szCs w:val="30"/>
          <w:highlight w:val="none"/>
          <w:lang w:eastAsia="zh-CN"/>
        </w:rPr>
        <w:t>公务出行业务量增多。</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25,500.00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7,722.00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17,778.00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30.28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7,722.00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落实过紧日子要求，严格控制公务接待费支出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外省学习调研增加，</w:t>
      </w:r>
      <w:r>
        <w:rPr>
          <w:rFonts w:hint="eastAsia" w:ascii="Times New Roman" w:hAnsi="Times New Roman" w:eastAsia="仿宋_GB2312" w:cs="仿宋_GB2312"/>
          <w:sz w:val="30"/>
          <w:szCs w:val="30"/>
          <w:highlight w:val="none"/>
          <w:lang w:eastAsia="zh-CN"/>
        </w:rPr>
        <w:t>公务接待同比增加。</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64</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十、机关运行经费支出情况说明</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天津市人民政府政务服务办公室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5,612,006.17</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3,690,921.30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39.67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进一步压减公用经费，机关运行经费减少。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十一、政府采购支出情况说明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天津市人民政府政务服务办公室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43,198,350.65</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1,525,530.50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41,672,820.15</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38,371,750.65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88.83%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37,729,250.65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87.34%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44.43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90.45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十二、</w:t>
      </w:r>
      <w:r>
        <w:rPr>
          <w:rFonts w:hint="eastAsia" w:ascii="Times New Roman" w:hAnsi="Times New Roman" w:eastAsia="黑体" w:cs="黑体"/>
          <w:b w:val="0"/>
          <w:bCs w:val="0"/>
          <w:kern w:val="0"/>
          <w:sz w:val="30"/>
          <w:szCs w:val="30"/>
          <w:highlight w:val="none"/>
        </w:rPr>
        <w:t>国有资产占有使用情况说明</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天津市人民政府政务服务办公室</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8</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业务用车。</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14</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十三、</w:t>
      </w:r>
      <w:r>
        <w:rPr>
          <w:rFonts w:hint="eastAsia" w:ascii="Times New Roman" w:hAnsi="Times New Roman" w:eastAsia="黑体" w:cs="黑体"/>
          <w:b w:val="0"/>
          <w:bCs w:val="0"/>
          <w:kern w:val="0"/>
          <w:sz w:val="30"/>
          <w:szCs w:val="30"/>
          <w:highlight w:val="none"/>
        </w:rPr>
        <w:t>预算绩效情况说明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根据预算绩效管理要求，天津市人民政府政务服务办公室2023年度已对1</w:t>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个市级项目开展绩效自评，涉及金额42,2</w:t>
      </w:r>
      <w:r>
        <w:rPr>
          <w:rFonts w:hint="eastAsia" w:ascii="Times New Roman" w:hAnsi="Times New Roman" w:eastAsia="仿宋_GB2312" w:cs="仿宋_GB2312"/>
          <w:sz w:val="30"/>
          <w:szCs w:val="30"/>
          <w:highlight w:val="none"/>
          <w:lang w:val="en-US" w:eastAsia="zh-CN"/>
        </w:rPr>
        <w:t>21</w:t>
      </w:r>
      <w:r>
        <w:rPr>
          <w:rFonts w:hint="eastAsia" w:ascii="Times New Roman" w:hAnsi="Times New Roman" w:eastAsia="仿宋_GB2312" w:cs="仿宋_GB2312"/>
          <w:sz w:val="30"/>
          <w:szCs w:val="30"/>
          <w:highlight w:val="none"/>
          <w:lang w:eastAsia="zh-CN"/>
        </w:rPr>
        <w:t>,742.00元，自评结果已随部门决算一并公开。</w:t>
      </w:r>
      <w:bookmarkStart w:id="0" w:name="_GoBack"/>
      <w:bookmarkEnd w:id="0"/>
      <w:r>
        <w:rPr>
          <w:rFonts w:hint="eastAsia" w:ascii="Times New Roman" w:hAnsi="Times New Roman" w:eastAsia="仿宋_GB2312" w:cs="仿宋_GB2312"/>
          <w:sz w:val="30"/>
          <w:szCs w:val="30"/>
          <w:highlight w:val="none"/>
          <w:lang w:eastAsia="zh-CN"/>
        </w:rPr>
        <w:t xml:space="preserve">本部门2023年度已对5个项目开展部门评价，涉及金额24,147,872.00元。 </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十四、</w:t>
      </w:r>
      <w:r>
        <w:rPr>
          <w:rFonts w:hint="eastAsia" w:ascii="Times New Roman" w:hAnsi="Times New Roman" w:eastAsia="黑体" w:cs="黑体"/>
          <w:b w:val="0"/>
          <w:bCs w:val="0"/>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天津市人民政府政务服务办公室不属于乡、镇、街级单位，不涉及公开2023年度教育、医疗卫生、社会保障和就业、住房保障、涉农补贴等民生支出情况。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w:t>
      </w:r>
      <w:r>
        <w:rPr>
          <w:rFonts w:hint="default" w:ascii="Times New Roman" w:hAnsi="Times New Roman" w:eastAsia="方正小标宋简体" w:cs="方正小标宋简体"/>
          <w:kern w:val="44"/>
          <w:sz w:val="44"/>
          <w:szCs w:val="44"/>
          <w:highlight w:val="none"/>
          <w:lang w:val="en"/>
        </w:rPr>
        <w:t xml:space="preserve">  </w:t>
      </w:r>
      <w:r>
        <w:rPr>
          <w:rFonts w:hint="eastAsia" w:ascii="Times New Roman" w:hAnsi="Times New Roman" w:eastAsia="方正小标宋简体" w:cs="方正小标宋简体"/>
          <w:kern w:val="44"/>
          <w:sz w:val="44"/>
          <w:szCs w:val="44"/>
          <w:highlight w:val="none"/>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both"/>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2530475</wp:posOffset>
              </wp:positionH>
              <wp:positionV relativeFrom="paragraph">
                <wp:posOffset>-180975</wp:posOffset>
              </wp:positionV>
              <wp:extent cx="320040" cy="3448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32004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99.25pt;margin-top:-14.25pt;height:27.15pt;width:25.2pt;mso-position-horizontal-relative:margin;z-index:251658240;mso-width-relative:page;mso-height-relative:page;" filled="f" stroked="f" coordsize="21600,21600" o:gfxdata="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6tfsr2QAAAAoBAAAPAAAAAAAAAAEAIAAAADgAAABkcnMvZG93bnJl&#10;di54bWxQSwECFAAUAAAACACHTuJAm+CUpx8CAAApBAAADgAAAAAAAAABACAAAAA+AQAAZHJzL2Uy&#10;b0RvYy54bWxQSwUGAAAAAAYABgBZAQAAzwUAAAAA&#10;">
              <v:fill on="f" focussize="0,0"/>
              <v:stroke on="f" weight="0.5pt"/>
              <v:imagedata o:title=""/>
              <o:lock v:ext="edit" aspectratio="f"/>
              <v:textbox inset="0mm,0mm,0mm,0mm">
                <w:txbxContent>
                  <w:p>
                    <w:pPr>
                      <w:pStyle w:val="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7D501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FE49DC"/>
    <w:rsid w:val="20DB5BFD"/>
    <w:rsid w:val="21365D81"/>
    <w:rsid w:val="21556D90"/>
    <w:rsid w:val="21C24E94"/>
    <w:rsid w:val="21D73FEC"/>
    <w:rsid w:val="23736675"/>
    <w:rsid w:val="24B227A0"/>
    <w:rsid w:val="25BA7C7E"/>
    <w:rsid w:val="2666570F"/>
    <w:rsid w:val="26DB4B05"/>
    <w:rsid w:val="271B299E"/>
    <w:rsid w:val="27DD7C53"/>
    <w:rsid w:val="27F39964"/>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FF7BEF"/>
    <w:rsid w:val="3D600CB3"/>
    <w:rsid w:val="3DB709A3"/>
    <w:rsid w:val="3E426F14"/>
    <w:rsid w:val="3EB42189"/>
    <w:rsid w:val="3EC62D97"/>
    <w:rsid w:val="3EEF0B4C"/>
    <w:rsid w:val="3EF16375"/>
    <w:rsid w:val="3F2006FA"/>
    <w:rsid w:val="3FF99783"/>
    <w:rsid w:val="40CF0629"/>
    <w:rsid w:val="4137238C"/>
    <w:rsid w:val="41CC0838"/>
    <w:rsid w:val="43612B5A"/>
    <w:rsid w:val="43805C0B"/>
    <w:rsid w:val="43B835F7"/>
    <w:rsid w:val="4413082D"/>
    <w:rsid w:val="44552CED"/>
    <w:rsid w:val="44EB17AA"/>
    <w:rsid w:val="45984C48"/>
    <w:rsid w:val="47727F60"/>
    <w:rsid w:val="4856518C"/>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C652ED"/>
    <w:rsid w:val="4FD337AC"/>
    <w:rsid w:val="4FE523CE"/>
    <w:rsid w:val="5236167C"/>
    <w:rsid w:val="52A37398"/>
    <w:rsid w:val="53C102A5"/>
    <w:rsid w:val="54380029"/>
    <w:rsid w:val="54846278"/>
    <w:rsid w:val="54A61249"/>
    <w:rsid w:val="54F16968"/>
    <w:rsid w:val="55AC416B"/>
    <w:rsid w:val="564C0516"/>
    <w:rsid w:val="56A66341"/>
    <w:rsid w:val="5713248B"/>
    <w:rsid w:val="57833AC4"/>
    <w:rsid w:val="578735B4"/>
    <w:rsid w:val="587A116E"/>
    <w:rsid w:val="58C3061C"/>
    <w:rsid w:val="58E93DFA"/>
    <w:rsid w:val="59954649"/>
    <w:rsid w:val="599E4BE5"/>
    <w:rsid w:val="5A1C0F73"/>
    <w:rsid w:val="5A964C59"/>
    <w:rsid w:val="5C170425"/>
    <w:rsid w:val="5CD612EB"/>
    <w:rsid w:val="5D032E6E"/>
    <w:rsid w:val="5DC66F7C"/>
    <w:rsid w:val="5DFB2606"/>
    <w:rsid w:val="5E015742"/>
    <w:rsid w:val="5EB1144C"/>
    <w:rsid w:val="5EF37781"/>
    <w:rsid w:val="5F6D7131"/>
    <w:rsid w:val="5F7856C5"/>
    <w:rsid w:val="5FB26B54"/>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A1D3904"/>
    <w:rsid w:val="6B4F5D3F"/>
    <w:rsid w:val="6B963EB9"/>
    <w:rsid w:val="6BBB51FE"/>
    <w:rsid w:val="6BF54B38"/>
    <w:rsid w:val="6C054650"/>
    <w:rsid w:val="6C1D5E3D"/>
    <w:rsid w:val="6CF70A69"/>
    <w:rsid w:val="6CFE17CB"/>
    <w:rsid w:val="6D5E0469"/>
    <w:rsid w:val="6D854C1A"/>
    <w:rsid w:val="6E080CF4"/>
    <w:rsid w:val="6EB34837"/>
    <w:rsid w:val="6EFB96CE"/>
    <w:rsid w:val="6F3FDEF6"/>
    <w:rsid w:val="6FD26F3F"/>
    <w:rsid w:val="6FDC8BD0"/>
    <w:rsid w:val="70180DF5"/>
    <w:rsid w:val="704716DB"/>
    <w:rsid w:val="708C6A78"/>
    <w:rsid w:val="70E84C6C"/>
    <w:rsid w:val="70FE35D3"/>
    <w:rsid w:val="71600CA6"/>
    <w:rsid w:val="7260119C"/>
    <w:rsid w:val="72701CEB"/>
    <w:rsid w:val="72B3615B"/>
    <w:rsid w:val="73724CC1"/>
    <w:rsid w:val="7455465F"/>
    <w:rsid w:val="75AB44BA"/>
    <w:rsid w:val="790549DE"/>
    <w:rsid w:val="79B7155B"/>
    <w:rsid w:val="79DC07A5"/>
    <w:rsid w:val="7ACA53E2"/>
    <w:rsid w:val="7B143565"/>
    <w:rsid w:val="7E2E7A36"/>
    <w:rsid w:val="7E703A39"/>
    <w:rsid w:val="7F3217A8"/>
    <w:rsid w:val="7FDD7966"/>
    <w:rsid w:val="BBAFF2B5"/>
    <w:rsid w:val="C47B7DAA"/>
    <w:rsid w:val="CFBFDBFC"/>
    <w:rsid w:val="DBDB7AD7"/>
    <w:rsid w:val="DF561EE3"/>
    <w:rsid w:val="E6BF3F3C"/>
    <w:rsid w:val="EA9FCB83"/>
    <w:rsid w:val="F75DB837"/>
    <w:rsid w:val="FFBFB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6</TotalTime>
  <ScaleCrop>false</ScaleCrop>
  <LinksUpToDate>false</LinksUpToDate>
  <CharactersWithSpaces>5662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2023-08-12T16:11:00Z</dcterms:created>
  <dc:creator>office</dc:creator>
  <cp:lastModifiedBy>kylin</cp:lastModifiedBy>
  <dcterms:modified xsi:type="dcterms:W3CDTF">2024-09-03T17:31:06Z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2B307E40FCBA4101AC8A6E636224FE58_13</vt:lpwstr>
  </property>
</Properties>
</file>