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bookmarkStart w:id="21" w:name="_GoBack"/>
      <w:bookmarkEnd w:id="21"/>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天津市公共资源交易中心</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bookmarkStart w:id="0" w:name="_Toc173315833"/>
      <w:r>
        <w:rPr>
          <w:rFonts w:hint="eastAsia" w:ascii="Times New Roman" w:hAnsi="Times New Roman" w:eastAsia="黑体" w:cs="黑体"/>
          <w:kern w:val="0"/>
          <w:sz w:val="44"/>
          <w:szCs w:val="44"/>
        </w:rPr>
        <w:t>目</w:t>
      </w:r>
      <w:r>
        <w:rPr>
          <w:rFonts w:ascii="Times New Roman" w:hAnsi="Times New Roman" w:eastAsia="黑体" w:cs="黑体"/>
          <w:kern w:val="0"/>
          <w:sz w:val="44"/>
          <w:szCs w:val="44"/>
        </w:rPr>
        <w:t xml:space="preserve">   </w:t>
      </w:r>
      <w:r>
        <w:rPr>
          <w:rFonts w:hint="eastAsia" w:ascii="Times New Roman" w:hAnsi="Times New Roman" w:eastAsia="黑体" w:cs="黑体"/>
          <w:kern w:val="0"/>
          <w:sz w:val="44"/>
          <w:szCs w:val="44"/>
        </w:rPr>
        <w:t>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w:t>
      </w:r>
      <w:r>
        <w:rPr>
          <w:rFonts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rPr>
        <w:t>概</w:t>
      </w:r>
      <w:r>
        <w:rPr>
          <w:rFonts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w:t>
      </w:r>
      <w:r>
        <w:rPr>
          <w:rFonts w:ascii="Times New Roman" w:hAnsi="Times New Roman" w:eastAsia="方正小标宋简体" w:cs="方正小标宋简体"/>
          <w:kern w:val="0"/>
          <w:sz w:val="30"/>
          <w:szCs w:val="30"/>
        </w:rPr>
        <w:t xml:space="preserve">  2023</w:t>
      </w:r>
      <w:r>
        <w:rPr>
          <w:rFonts w:hint="eastAsia" w:ascii="Times New Roman" w:hAnsi="Times New Roman" w:eastAsia="方正小标宋简体" w:cs="方正小标宋简体"/>
          <w:kern w:val="0"/>
          <w:sz w:val="30"/>
          <w:szCs w:val="30"/>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w:t>
      </w:r>
      <w:r>
        <w:rPr>
          <w:rFonts w:ascii="Times New Roman" w:hAnsi="Times New Roman" w:eastAsia="方正小标宋简体" w:cs="方正小标宋简体"/>
          <w:kern w:val="0"/>
          <w:sz w:val="30"/>
          <w:szCs w:val="30"/>
        </w:rPr>
        <w:t xml:space="preserve">  2023</w:t>
      </w:r>
      <w:r>
        <w:rPr>
          <w:rFonts w:hint="eastAsia" w:ascii="Times New Roman" w:hAnsi="Times New Roman" w:eastAsia="方正小标宋简体" w:cs="方正小标宋简体"/>
          <w:kern w:val="0"/>
          <w:sz w:val="30"/>
          <w:szCs w:val="30"/>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p>
    <w:p>
      <w:pPr>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p>
    <w:p>
      <w:pPr>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p>
    <w:p>
      <w:pPr>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p>
    <w:p>
      <w:pPr>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p>
    <w:p>
      <w:pPr>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sectPr>
          <w:footerReference r:id="rId3" w:type="default"/>
          <w:type w:val="continuous"/>
          <w:pgSz w:w="11907" w:h="16839"/>
          <w:pgMar w:top="1440" w:right="1800" w:bottom="1440" w:left="1800" w:header="720" w:footer="720" w:gutter="0"/>
          <w:pgNumType w:start="1"/>
          <w:cols w:space="720" w:num="1"/>
          <w:docGrid w:linePitch="286" w:charSpace="0"/>
        </w:sectPr>
      </w:pPr>
    </w:p>
    <w:p>
      <w:pPr>
        <w:autoSpaceDE w:val="0"/>
        <w:autoSpaceDN w:val="0"/>
        <w:adjustRightInd w:val="0"/>
        <w:spacing w:line="66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bookmarkEnd w:id="0"/>
    </w:p>
    <w:p>
      <w:pPr>
        <w:autoSpaceDE w:val="0"/>
        <w:autoSpaceDN w:val="0"/>
        <w:adjustRightInd w:val="0"/>
        <w:spacing w:line="579" w:lineRule="exact"/>
        <w:ind w:firstLine="640" w:firstLineChars="200"/>
        <w:outlineLvl w:val="1"/>
        <w:rPr>
          <w:rFonts w:ascii="Times New Roman" w:hAnsi="Times New Roman" w:eastAsia="黑体" w:cs="黑体"/>
          <w:kern w:val="0"/>
          <w:sz w:val="30"/>
          <w:szCs w:val="30"/>
        </w:rPr>
      </w:pPr>
      <w:bookmarkStart w:id="1" w:name="_Toc173315834"/>
      <w:r>
        <w:rPr>
          <w:rFonts w:hint="eastAsia" w:ascii="Times New Roman" w:hAnsi="Times New Roman" w:eastAsia="黑体" w:cs="黑体"/>
          <w:kern w:val="0"/>
          <w:sz w:val="32"/>
          <w:szCs w:val="32"/>
        </w:rPr>
        <w:t>一、主要职责</w:t>
      </w:r>
      <w:bookmarkEnd w:id="1"/>
      <w:r>
        <w:rPr>
          <w:rFonts w:hint="eastAsia" w:ascii="Times New Roman" w:hAnsi="Times New Roman" w:eastAsia="黑体" w:cs="黑体"/>
          <w:kern w:val="0"/>
          <w:sz w:val="30"/>
          <w:szCs w:val="30"/>
        </w:rPr>
        <w:t xml:space="preserve"> </w:t>
      </w:r>
    </w:p>
    <w:p>
      <w:pPr>
        <w:autoSpaceDE w:val="0"/>
        <w:autoSpaceDN w:val="0"/>
        <w:adjustRightInd w:val="0"/>
        <w:spacing w:line="579" w:lineRule="exact"/>
        <w:ind w:firstLine="600" w:firstLineChars="200"/>
        <w:outlineLvl w:val="1"/>
        <w:rPr>
          <w:rFonts w:ascii="Times New Roman" w:hAnsi="Times New Roman" w:eastAsia="仿宋_GB2312" w:cs="仿宋_GB2312"/>
          <w:kern w:val="0"/>
          <w:sz w:val="30"/>
          <w:szCs w:val="30"/>
        </w:rPr>
      </w:pPr>
      <w:bookmarkStart w:id="2" w:name="_Toc173315835"/>
      <w:r>
        <w:rPr>
          <w:rFonts w:hint="eastAsia" w:ascii="Times New Roman" w:hAnsi="Times New Roman" w:eastAsia="仿宋_GB2312" w:cs="仿宋_GB2312"/>
          <w:kern w:val="0"/>
          <w:sz w:val="30"/>
          <w:szCs w:val="30"/>
        </w:rPr>
        <w:t>天津市公共资源交易中心（天津市政府采购中心）为公益二类事业单位。宗旨是贯彻实施公共资源交易有关法律、法规和政策，统一行使公共资源交易职责，优化公共资源交易营商环境，打造统一开放、竞争有序的公共资源交易市场。</w:t>
      </w:r>
    </w:p>
    <w:p>
      <w:pPr>
        <w:autoSpaceDE w:val="0"/>
        <w:autoSpaceDN w:val="0"/>
        <w:adjustRightInd w:val="0"/>
        <w:spacing w:line="579" w:lineRule="exact"/>
        <w:ind w:firstLine="600" w:firstLineChars="200"/>
        <w:outlineLvl w:val="1"/>
        <w:rPr>
          <w:rFonts w:ascii="Times New Roman" w:hAnsi="Times New Roman" w:eastAsia="黑体" w:cs="黑体"/>
          <w:kern w:val="0"/>
          <w:sz w:val="30"/>
          <w:szCs w:val="30"/>
        </w:rPr>
      </w:pPr>
      <w:r>
        <w:rPr>
          <w:rFonts w:hint="eastAsia" w:ascii="Times New Roman" w:hAnsi="Times New Roman" w:eastAsia="仿宋_GB2312" w:cs="仿宋_GB2312"/>
          <w:kern w:val="0"/>
          <w:sz w:val="30"/>
          <w:szCs w:val="30"/>
        </w:rPr>
        <w:t>业务范围：</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 xml:space="preserve">    1.参与拟订公共资源交易服务工作规范、服务流程和相关服务标准。</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 xml:space="preserve">    2.承担市级公共资源交易平台的运行、维护和日常管理工作。</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 xml:space="preserve">    3.承担工程建设项目招标投标、政府采购、国有土地使用权和矿业权出让、国有产权交易，以及自然资源、资产股权、环境权等公共资源进场交易的见证、场所、信息、档案、专家抽取等服务工作，维护交易活动现场秩序。</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 xml:space="preserve">    4.收集、储存、发布公共资源交易信息，开展公共资源交易大数据统计分析。</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 xml:space="preserve">    5.接受国家及地区委托提供公共资源交易相关服务。</w:t>
      </w:r>
      <w:r>
        <w:rPr>
          <w:rFonts w:hint="eastAsia" w:ascii="Times New Roman" w:hAnsi="Times New Roman" w:eastAsia="仿宋_GB2312" w:cs="仿宋_GB2312"/>
          <w:kern w:val="0"/>
          <w:sz w:val="30"/>
          <w:szCs w:val="30"/>
        </w:rPr>
        <w:br w:type="textWrapping"/>
      </w:r>
      <w:r>
        <w:rPr>
          <w:rFonts w:hint="eastAsia" w:ascii="Times New Roman" w:hAnsi="Times New Roman" w:eastAsia="仿宋_GB2312" w:cs="仿宋_GB2312"/>
          <w:kern w:val="0"/>
          <w:sz w:val="30"/>
          <w:szCs w:val="30"/>
        </w:rPr>
        <w:t xml:space="preserve">    6.承担主管部门交办的其他事项。</w:t>
      </w:r>
      <w:bookmarkEnd w:id="2"/>
    </w:p>
    <w:p>
      <w:pPr>
        <w:autoSpaceDE w:val="0"/>
        <w:autoSpaceDN w:val="0"/>
        <w:adjustRightInd w:val="0"/>
        <w:spacing w:line="579" w:lineRule="exact"/>
        <w:ind w:firstLine="640" w:firstLineChars="200"/>
        <w:outlineLvl w:val="1"/>
        <w:rPr>
          <w:rFonts w:ascii="Times New Roman" w:hAnsi="Times New Roman" w:eastAsia="黑体" w:cs="黑体"/>
          <w:kern w:val="0"/>
          <w:sz w:val="32"/>
          <w:szCs w:val="32"/>
        </w:rPr>
      </w:pPr>
      <w:bookmarkStart w:id="3" w:name="_Toc173315836"/>
      <w:r>
        <w:rPr>
          <w:rFonts w:hint="eastAsia" w:ascii="Times New Roman" w:hAnsi="Times New Roman" w:eastAsia="黑体" w:cs="黑体"/>
          <w:kern w:val="0"/>
          <w:sz w:val="32"/>
          <w:szCs w:val="32"/>
        </w:rPr>
        <w:t>二、机构设置</w:t>
      </w:r>
      <w:bookmarkEnd w:id="3"/>
      <w:r>
        <w:rPr>
          <w:rFonts w:hint="eastAsia" w:ascii="Times New Roman" w:hAnsi="Times New Roman" w:eastAsia="黑体" w:cs="黑体"/>
          <w:kern w:val="0"/>
          <w:sz w:val="32"/>
          <w:szCs w:val="32"/>
        </w:rPr>
        <w:t xml:space="preserve"> </w:t>
      </w:r>
    </w:p>
    <w:p>
      <w:pPr>
        <w:autoSpaceDE w:val="0"/>
        <w:autoSpaceDN w:val="0"/>
        <w:adjustRightInd w:val="0"/>
        <w:spacing w:line="579" w:lineRule="exact"/>
        <w:ind w:firstLine="600" w:firstLineChars="200"/>
        <w:outlineLvl w:val="1"/>
        <w:rPr>
          <w:rFonts w:ascii="Times New Roman" w:hAnsi="Times New Roman" w:eastAsia="仿宋_GB2312" w:cs="仿宋_GB2312"/>
          <w:kern w:val="0"/>
          <w:sz w:val="30"/>
          <w:szCs w:val="30"/>
        </w:rPr>
      </w:pPr>
      <w:bookmarkStart w:id="4" w:name="_Toc173315837"/>
      <w:r>
        <w:rPr>
          <w:rFonts w:hint="eastAsia" w:ascii="Times New Roman" w:hAnsi="Times New Roman" w:eastAsia="仿宋_GB2312" w:cs="仿宋_GB2312"/>
          <w:kern w:val="0"/>
          <w:sz w:val="30"/>
          <w:szCs w:val="30"/>
        </w:rPr>
        <w:t>天津市公共资源交易中心（天津市政府采购中心）内设11个职能处室；下辖0个预算单位。纳入天津市公共资源交易中心（天津市政府采购中心）2023年度部门决算编制范围的单位包括：天津市公共资源交易中心（天津市政府采购中心）</w:t>
      </w:r>
      <w:bookmarkEnd w:id="4"/>
      <w:r>
        <w:rPr>
          <w:rFonts w:hint="eastAsia" w:ascii="Times New Roman" w:hAnsi="Times New Roman" w:eastAsia="仿宋_GB2312" w:cs="仿宋_GB2312"/>
          <w:kern w:val="0"/>
          <w:sz w:val="30"/>
          <w:szCs w:val="30"/>
        </w:rPr>
        <w:t>。</w:t>
      </w:r>
    </w:p>
    <w:p>
      <w:pPr>
        <w:rPr>
          <w:rFonts w:ascii="Times New Roman" w:hAnsi="Times New Roman" w:eastAsia="黑体" w:cs="黑体"/>
          <w:sz w:val="30"/>
          <w:szCs w:val="30"/>
          <w:lang w:val="zh-CN"/>
        </w:rPr>
      </w:pPr>
    </w:p>
    <w:p>
      <w:pPr>
        <w:autoSpaceDE w:val="0"/>
        <w:autoSpaceDN w:val="0"/>
        <w:adjustRightInd w:val="0"/>
        <w:spacing w:line="660" w:lineRule="exact"/>
        <w:jc w:val="center"/>
        <w:outlineLvl w:val="0"/>
        <w:rPr>
          <w:rFonts w:ascii="Times New Roman" w:hAnsi="Times New Roman" w:eastAsia="方正小标宋简体" w:cs="方正小标宋简体"/>
          <w:kern w:val="44"/>
          <w:sz w:val="44"/>
          <w:szCs w:val="44"/>
        </w:rPr>
      </w:pPr>
      <w:bookmarkStart w:id="5" w:name="_Toc173315838"/>
      <w:r>
        <w:rPr>
          <w:rFonts w:hint="eastAsia" w:ascii="Times New Roman" w:hAnsi="Times New Roman" w:eastAsia="方正小标宋简体" w:cs="方正小标宋简体"/>
          <w:kern w:val="44"/>
          <w:sz w:val="44"/>
          <w:szCs w:val="44"/>
        </w:rPr>
        <w:t>第二部分  2023年度部门决算表</w:t>
      </w:r>
      <w:bookmarkEnd w:id="5"/>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7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7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7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7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7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7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7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7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7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7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7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7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ind w:firstLine="600" w:firstLineChars="200"/>
        <w:jc w:val="left"/>
        <w:rPr>
          <w:rFonts w:ascii="Times New Roman" w:hAnsi="Times New Roman" w:eastAsia="黑体" w:cs="黑体"/>
          <w:kern w:val="0"/>
          <w:sz w:val="30"/>
          <w:szCs w:val="30"/>
        </w:rPr>
      </w:pP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1.天津市公共资源交易中心（天津市政府采购中心）2023年度政府性基金预算财政拨款收入支出决算表为空表。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2.天津市公共资源交易中心（天津市政府采购中心）2023年度国有资本经营预算财政拨款收入支出决算表为空表。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3.天津市公共资源交易中心（天津市政府采购中心）2023年度一般公共预算财政拨款“三公”经费支出决算表为空表。</w:t>
      </w:r>
    </w:p>
    <w:p>
      <w:pPr>
        <w:autoSpaceDE w:val="0"/>
        <w:autoSpaceDN w:val="0"/>
        <w:adjustRightInd w:val="0"/>
        <w:spacing w:line="660" w:lineRule="exact"/>
        <w:jc w:val="center"/>
        <w:outlineLvl w:val="1"/>
        <w:rPr>
          <w:rFonts w:ascii="Times New Roman" w:hAnsi="Times New Roman" w:eastAsia="方正小标宋简体" w:cs="方正小标宋简体"/>
          <w:kern w:val="44"/>
          <w:sz w:val="44"/>
          <w:szCs w:val="44"/>
        </w:rPr>
      </w:pPr>
      <w:bookmarkStart w:id="6" w:name="_Toc173315851"/>
      <w:r>
        <w:rPr>
          <w:rFonts w:hint="eastAsia" w:ascii="Times New Roman" w:hAnsi="Times New Roman" w:eastAsia="方正小标宋简体" w:cs="方正小标宋简体"/>
          <w:kern w:val="44"/>
          <w:sz w:val="44"/>
          <w:szCs w:val="44"/>
        </w:rPr>
        <w:t>第三部分  2023年度部门决算情况说明</w:t>
      </w:r>
      <w:bookmarkEnd w:id="6"/>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autoSpaceDE w:val="0"/>
        <w:autoSpaceDN w:val="0"/>
        <w:adjustRightInd w:val="0"/>
        <w:spacing w:line="579" w:lineRule="exact"/>
        <w:ind w:firstLine="640" w:firstLineChars="200"/>
        <w:outlineLvl w:val="1"/>
        <w:rPr>
          <w:rFonts w:ascii="Times New Roman" w:hAnsi="Times New Roman" w:eastAsia="黑体" w:cs="黑体"/>
          <w:kern w:val="0"/>
          <w:sz w:val="32"/>
          <w:szCs w:val="32"/>
          <w:lang w:val="zh-CN"/>
        </w:rPr>
      </w:pPr>
      <w:bookmarkStart w:id="7" w:name="_Toc173315852"/>
      <w:r>
        <w:rPr>
          <w:rFonts w:hint="eastAsia" w:ascii="Times New Roman" w:hAnsi="Times New Roman" w:eastAsia="黑体" w:cs="黑体"/>
          <w:kern w:val="0"/>
          <w:sz w:val="32"/>
          <w:szCs w:val="32"/>
          <w:lang w:val="zh-CN"/>
        </w:rPr>
        <w:t>一、收入支出决算总体情况说明</w:t>
      </w:r>
      <w:bookmarkEnd w:id="7"/>
    </w:p>
    <w:p>
      <w:pPr>
        <w:autoSpaceDE w:val="0"/>
        <w:autoSpaceDN w:val="0"/>
        <w:adjustRightInd w:val="0"/>
        <w:spacing w:line="579" w:lineRule="exact"/>
        <w:ind w:firstLine="600" w:firstLineChars="200"/>
        <w:outlineLvl w:val="1"/>
        <w:rPr>
          <w:rFonts w:ascii="Times New Roman" w:hAnsi="Times New Roman" w:eastAsia="仿宋_GB2312" w:cs="仿宋_GB2312"/>
          <w:sz w:val="30"/>
          <w:szCs w:val="30"/>
        </w:rPr>
      </w:pPr>
      <w:bookmarkStart w:id="8" w:name="_Toc173315853"/>
      <w:r>
        <w:rPr>
          <w:rFonts w:hint="eastAsia" w:ascii="Times New Roman" w:hAnsi="Times New Roman" w:eastAsia="仿宋_GB2312" w:cs="仿宋_GB2312"/>
          <w:sz w:val="30"/>
          <w:szCs w:val="30"/>
        </w:rPr>
        <w:t>天津市公共资源交易中心（天津市政府采购中心）2023年度收入、支出决算总计154,100,540.55元，与2022年度相比，收、支总计各增加111,096,022.34元，增长258.34%，主要原因是：本年度按照决算要求，将非财政拨款年初结转和结余、年末结转和结余、专用结余纳入决算，统计口径变大。</w:t>
      </w:r>
      <w:bookmarkEnd w:id="8"/>
    </w:p>
    <w:p>
      <w:pPr>
        <w:autoSpaceDE w:val="0"/>
        <w:autoSpaceDN w:val="0"/>
        <w:adjustRightInd w:val="0"/>
        <w:spacing w:line="579" w:lineRule="exact"/>
        <w:ind w:firstLine="640" w:firstLineChars="200"/>
        <w:outlineLvl w:val="1"/>
        <w:rPr>
          <w:rFonts w:ascii="Times New Roman" w:hAnsi="Times New Roman" w:eastAsia="黑体" w:cs="黑体"/>
          <w:kern w:val="0"/>
          <w:sz w:val="32"/>
          <w:szCs w:val="32"/>
          <w:lang w:val="zh-CN"/>
        </w:rPr>
      </w:pPr>
      <w:bookmarkStart w:id="9" w:name="_Toc173315854"/>
      <w:r>
        <w:rPr>
          <w:rFonts w:hint="eastAsia" w:ascii="Times New Roman" w:hAnsi="Times New Roman" w:eastAsia="黑体" w:cs="黑体"/>
          <w:kern w:val="0"/>
          <w:sz w:val="32"/>
          <w:szCs w:val="32"/>
          <w:lang w:val="zh-CN"/>
        </w:rPr>
        <w:t>二、收入决算情况说明</w:t>
      </w:r>
      <w:bookmarkEnd w:id="9"/>
    </w:p>
    <w:p>
      <w:pPr>
        <w:wordWrap w:val="0"/>
        <w:autoSpaceDE w:val="0"/>
        <w:autoSpaceDN w:val="0"/>
        <w:adjustRightInd w:val="0"/>
        <w:spacing w:line="579" w:lineRule="exact"/>
        <w:ind w:firstLine="600" w:firstLineChars="200"/>
        <w:rPr>
          <w:rFonts w:ascii="Times New Roman" w:hAnsi="Times New Roman" w:eastAsia="宋体" w:cs="Times New Roman"/>
          <w:sz w:val="30"/>
          <w:szCs w:val="30"/>
        </w:rPr>
      </w:pPr>
      <w:r>
        <w:rPr>
          <w:rFonts w:hint="eastAsia" w:ascii="Times New Roman" w:hAnsi="Times New Roman" w:eastAsia="仿宋_GB2312" w:cs="仿宋_GB2312"/>
          <w:sz w:val="30"/>
          <w:szCs w:val="30"/>
        </w:rPr>
        <w:t>天津市公共资源交易中心（天津市政府采购中心）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54,577,353.46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年度相比增加15,588,400.05元，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：本年度我单位事业收入增加。</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14,139,630.70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25.91</w:t>
      </w:r>
      <w:r>
        <w:rPr>
          <w:rFonts w:hint="eastAsia" w:ascii="Times New Roman" w:hAnsi="Times New Roman" w:eastAsia="宋体" w:cs="Times New Roman"/>
          <w:sz w:val="30"/>
          <w:szCs w:val="30"/>
        </w:rPr>
        <w:t>%；</w:t>
      </w: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37,165,354.62元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68.1%；</w:t>
      </w: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3,272,368.14元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5.99%。</w:t>
      </w:r>
    </w:p>
    <w:p>
      <w:pPr>
        <w:autoSpaceDE w:val="0"/>
        <w:autoSpaceDN w:val="0"/>
        <w:adjustRightInd w:val="0"/>
        <w:spacing w:line="579" w:lineRule="exact"/>
        <w:ind w:firstLine="640" w:firstLineChars="200"/>
        <w:outlineLvl w:val="1"/>
        <w:rPr>
          <w:rFonts w:ascii="Times New Roman" w:hAnsi="Times New Roman" w:eastAsia="黑体" w:cs="黑体"/>
          <w:kern w:val="0"/>
          <w:sz w:val="32"/>
          <w:szCs w:val="32"/>
          <w:lang w:val="zh-CN"/>
        </w:rPr>
      </w:pPr>
      <w:bookmarkStart w:id="10" w:name="_Toc173315855"/>
      <w:r>
        <w:rPr>
          <w:rFonts w:hint="eastAsia" w:ascii="Times New Roman" w:hAnsi="Times New Roman" w:eastAsia="黑体" w:cs="黑体"/>
          <w:kern w:val="0"/>
          <w:sz w:val="32"/>
          <w:szCs w:val="32"/>
          <w:lang w:val="zh-CN"/>
        </w:rPr>
        <w:t>三、支出决算情况说明</w:t>
      </w:r>
      <w:bookmarkEnd w:id="10"/>
    </w:p>
    <w:p>
      <w:pPr>
        <w:autoSpaceDE w:val="0"/>
        <w:autoSpaceDN w:val="0"/>
        <w:adjustRightInd w:val="0"/>
        <w:spacing w:line="579"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天津市公共资源交易中心（天津市政府采购中心）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年度本年支出合计50,641,924.86元，与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年度相比增加7,637,406.65元，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本年度我单位日常维修、信息化运维经费与建设经费增加。</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47,030,055.16元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占92.87%；</w:t>
      </w: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3,611,869.70元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占7.13%。</w:t>
      </w:r>
      <w:r>
        <w:rPr>
          <w:rFonts w:ascii="Times New Roman" w:hAnsi="Times New Roman" w:eastAsia="仿宋_GB2312" w:cs="仿宋_GB2312"/>
          <w:kern w:val="0"/>
          <w:sz w:val="30"/>
          <w:szCs w:val="30"/>
        </w:rPr>
        <w:t xml:space="preserve"> </w:t>
      </w:r>
    </w:p>
    <w:p>
      <w:pPr>
        <w:autoSpaceDE w:val="0"/>
        <w:autoSpaceDN w:val="0"/>
        <w:adjustRightInd w:val="0"/>
        <w:spacing w:line="579" w:lineRule="exact"/>
        <w:ind w:firstLine="640" w:firstLineChars="200"/>
        <w:outlineLvl w:val="1"/>
        <w:rPr>
          <w:rFonts w:ascii="Times New Roman" w:hAnsi="Times New Roman" w:eastAsia="黑体" w:cs="黑体"/>
          <w:kern w:val="0"/>
          <w:sz w:val="32"/>
          <w:szCs w:val="32"/>
          <w:lang w:val="zh-CN"/>
        </w:rPr>
      </w:pPr>
      <w:bookmarkStart w:id="11" w:name="_Toc173315856"/>
      <w:r>
        <w:rPr>
          <w:rFonts w:hint="eastAsia" w:ascii="Times New Roman" w:hAnsi="Times New Roman" w:eastAsia="黑体" w:cs="黑体"/>
          <w:kern w:val="0"/>
          <w:sz w:val="32"/>
          <w:szCs w:val="32"/>
          <w:lang w:val="zh-CN"/>
        </w:rPr>
        <w:t>四、财政拨款收支决算总体情况说明</w:t>
      </w:r>
      <w:bookmarkEnd w:id="11"/>
    </w:p>
    <w:p>
      <w:pPr>
        <w:autoSpaceDE w:val="0"/>
        <w:autoSpaceDN w:val="0"/>
        <w:adjustRightInd w:val="0"/>
        <w:spacing w:line="579"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天津市公共资源交易中心（天津市政府采购中心）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14,139,630.70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年度相比，财政拨款收、支总计各减少2,182,369.30元，下降13.37</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本年度我单位压减项目经费。</w:t>
      </w:r>
    </w:p>
    <w:p>
      <w:pPr>
        <w:autoSpaceDE w:val="0"/>
        <w:autoSpaceDN w:val="0"/>
        <w:adjustRightInd w:val="0"/>
        <w:spacing w:line="579" w:lineRule="exact"/>
        <w:ind w:firstLine="640" w:firstLineChars="200"/>
        <w:outlineLvl w:val="1"/>
        <w:rPr>
          <w:rFonts w:ascii="Times New Roman" w:hAnsi="Times New Roman" w:eastAsia="黑体" w:cs="黑体"/>
          <w:kern w:val="0"/>
          <w:sz w:val="32"/>
          <w:szCs w:val="32"/>
          <w:lang w:val="zh-CN"/>
        </w:rPr>
      </w:pPr>
      <w:bookmarkStart w:id="12" w:name="_Toc173315857"/>
      <w:r>
        <w:rPr>
          <w:rFonts w:hint="eastAsia" w:ascii="Times New Roman" w:hAnsi="Times New Roman" w:eastAsia="黑体" w:cs="黑体"/>
          <w:kern w:val="0"/>
          <w:sz w:val="32"/>
          <w:szCs w:val="32"/>
          <w:lang w:val="zh-CN"/>
        </w:rPr>
        <w:t>五、一般公共预算财政拨款支出决算情况说明</w:t>
      </w:r>
      <w:bookmarkEnd w:id="12"/>
    </w:p>
    <w:p>
      <w:pPr>
        <w:autoSpaceDE w:val="0"/>
        <w:autoSpaceDN w:val="0"/>
        <w:adjustRightInd w:val="0"/>
        <w:spacing w:line="579" w:lineRule="exact"/>
        <w:ind w:firstLine="600" w:firstLineChars="200"/>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（一）总体情况</w:t>
      </w:r>
    </w:p>
    <w:p>
      <w:pPr>
        <w:autoSpaceDE w:val="0"/>
        <w:autoSpaceDN w:val="0"/>
        <w:adjustRightInd w:val="0"/>
        <w:spacing w:line="579"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天津市公共资源交易中心（天津市政府采购中心）2023年度部门决算一般公共预算财政拨款支出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计14,139,630.70元，占本年支出合计的27.92%，与2022年度相比，一般公共预算财政拨款支出减少2,182,369.30元，下降13.37%，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：本年度我单位压减项目经费。</w:t>
      </w:r>
    </w:p>
    <w:p>
      <w:pPr>
        <w:autoSpaceDE w:val="0"/>
        <w:autoSpaceDN w:val="0"/>
        <w:adjustRightInd w:val="0"/>
        <w:spacing w:line="579" w:lineRule="exact"/>
        <w:ind w:firstLine="600" w:firstLineChars="200"/>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（二）</w:t>
      </w:r>
      <w:r>
        <w:rPr>
          <w:rFonts w:hint="eastAsia" w:ascii="楷体_GB2312" w:hAnsi="楷体_GB2312" w:eastAsia="楷体_GB2312" w:cs="楷体_GB2312"/>
          <w:kern w:val="0"/>
          <w:sz w:val="30"/>
          <w:szCs w:val="30"/>
          <w:lang w:val="zh-CN"/>
        </w:rPr>
        <w:t>支出结构</w:t>
      </w:r>
      <w:r>
        <w:rPr>
          <w:rFonts w:hint="eastAsia" w:ascii="楷体_GB2312" w:hAnsi="楷体_GB2312" w:eastAsia="楷体_GB2312" w:cs="楷体_GB2312"/>
          <w:kern w:val="0"/>
          <w:sz w:val="30"/>
          <w:szCs w:val="30"/>
        </w:rPr>
        <w:t>情况</w:t>
      </w:r>
    </w:p>
    <w:p>
      <w:pPr>
        <w:autoSpaceDE w:val="0"/>
        <w:autoSpaceDN w:val="0"/>
        <w:adjustRightInd w:val="0"/>
        <w:spacing w:line="579"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14,139,630.70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一般公共服务支出（类）支出</w:t>
      </w:r>
      <w:r>
        <w:rPr>
          <w:rFonts w:hint="eastAsia" w:ascii="Times New Roman" w:hAnsi="Times New Roman" w:eastAsia="仿宋_GB2312" w:cs="Times New Roman"/>
          <w:sz w:val="30"/>
          <w:szCs w:val="30"/>
        </w:rPr>
        <w:t>11,805,630.7</w:t>
      </w:r>
      <w:r>
        <w:rPr>
          <w:rFonts w:hint="eastAsia" w:ascii="Times New Roman" w:hAnsi="Times New Roman" w:eastAsia="仿宋_GB2312" w:cs="仿宋_GB2312"/>
          <w:sz w:val="30"/>
          <w:szCs w:val="30"/>
        </w:rPr>
        <w:t>元，占83.49%；社会保障和就业支出（类）支出1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815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000元，占12.84%：卫生健康支出（类）支出519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000元，占3.67%。</w:t>
      </w:r>
    </w:p>
    <w:p>
      <w:pPr>
        <w:autoSpaceDE w:val="0"/>
        <w:autoSpaceDN w:val="0"/>
        <w:adjustRightInd w:val="0"/>
        <w:spacing w:line="579" w:lineRule="exact"/>
        <w:ind w:firstLine="600" w:firstLineChars="200"/>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（三）具体情况</w:t>
      </w:r>
    </w:p>
    <w:p>
      <w:pPr>
        <w:wordWrap w:val="0"/>
        <w:autoSpaceDE w:val="0"/>
        <w:autoSpaceDN w:val="0"/>
        <w:adjustRightInd w:val="0"/>
        <w:spacing w:line="579"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15,950,000.00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14,139,630.70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88.65%</w:t>
      </w:r>
      <w:r>
        <w:rPr>
          <w:rFonts w:hint="eastAsia" w:ascii="Times New Roman" w:hAnsi="Times New Roman" w:eastAsia="仿宋_GB2312" w:cs="仿宋_GB2312"/>
          <w:kern w:val="0"/>
          <w:sz w:val="30"/>
          <w:szCs w:val="30"/>
        </w:rPr>
        <w:t>。其中：</w:t>
      </w:r>
    </w:p>
    <w:p>
      <w:pPr>
        <w:wordWrap w:val="0"/>
        <w:autoSpaceDE w:val="0"/>
        <w:autoSpaceDN w:val="0"/>
        <w:adjustRightInd w:val="0"/>
        <w:spacing w:line="579" w:lineRule="exact"/>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1. 一般公共服务支出（类）政府办公厅（室）及相关机构事务（款）政务公开审批（项）年初预算为5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400</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000.00元，支出决算为3</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611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869.70元，决算数小于年初预算数的主要原因是一是按照相关规定，项目支出不再列支物业费等日常运维经费；二是相关场地交公，不再列支租赁费。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 一般公共服务支出（类）政府办公厅（室）及相关机构事务（款）事业运行（项）年初预算为8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216</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000元，支出决算为8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193</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761.00元，完成年初预算的99.72%，决算数小于年初预算数的主要原因是厉行节约，压减支出。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 社会保障和就业支出（类）行政事业单位养老支出（款）机关事业单位基本养老保险缴费支出（项）年初预算为1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210</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000.00元，支出决算为1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210</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 xml:space="preserve">000.00元，完成年初预算的100.00%。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 社会保障和就业支出（类）行政事业单位养老支出（款）机关事业单位职业年金缴费支出（项）年初预算为605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000.00元，支出决算为605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000.00元，完成年初预算的100.00%。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5.卫生健康支出（类）行政事业单位医疗（款）事业单位医疗（项）年初预算为397</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000.00元，支出决算为397</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000.00元，完成年初预算的100.00%。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6.卫生健康支出（类）行政事业单位医疗（款）其他行政事业单位医疗支出（项）年初预算为122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000.00元，支出决算为122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000.00元，完成年初预算的100.00%。</w:t>
      </w:r>
    </w:p>
    <w:p>
      <w:pPr>
        <w:autoSpaceDE w:val="0"/>
        <w:autoSpaceDN w:val="0"/>
        <w:adjustRightInd w:val="0"/>
        <w:spacing w:line="579" w:lineRule="exact"/>
        <w:ind w:firstLine="640" w:firstLineChars="200"/>
        <w:outlineLvl w:val="1"/>
        <w:rPr>
          <w:rFonts w:ascii="Times New Roman" w:hAnsi="Times New Roman" w:eastAsia="黑体" w:cs="黑体"/>
          <w:kern w:val="0"/>
          <w:sz w:val="32"/>
          <w:szCs w:val="32"/>
          <w:lang w:val="zh-CN"/>
        </w:rPr>
      </w:pPr>
      <w:bookmarkStart w:id="13" w:name="_Toc173315858"/>
      <w:r>
        <w:rPr>
          <w:rFonts w:hint="eastAsia" w:ascii="Times New Roman" w:hAnsi="Times New Roman" w:eastAsia="黑体" w:cs="黑体"/>
          <w:kern w:val="0"/>
          <w:sz w:val="32"/>
          <w:szCs w:val="32"/>
          <w:lang w:val="zh-CN"/>
        </w:rPr>
        <w:t>六、一般公共预算财政拨款基本支出决算情况说明</w:t>
      </w:r>
      <w:bookmarkEnd w:id="13"/>
    </w:p>
    <w:p>
      <w:pPr>
        <w:autoSpaceDE w:val="0"/>
        <w:autoSpaceDN w:val="0"/>
        <w:adjustRightInd w:val="0"/>
        <w:spacing w:line="579"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天津市公共资源交易中心（天津市政府采购中心）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10,527,761.00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年度相比增加1,005,761.00元，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本年度我单位长聘人员经费纳入基本支出人员经费的其他工资福利支出核算。</w:t>
      </w:r>
      <w:r>
        <w:rPr>
          <w:rFonts w:hint="eastAsia" w:ascii="Times New Roman" w:hAnsi="Times New Roman" w:eastAsia="仿宋_GB2312" w:cs="仿宋_GB2312"/>
          <w:kern w:val="0"/>
          <w:sz w:val="30"/>
          <w:szCs w:val="30"/>
        </w:rPr>
        <w:t>其中：</w:t>
      </w:r>
    </w:p>
    <w:p>
      <w:pPr>
        <w:autoSpaceDE w:val="0"/>
        <w:autoSpaceDN w:val="0"/>
        <w:adjustRightInd w:val="0"/>
        <w:spacing w:line="579"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9,204,000.00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基本工资、津贴补贴、绩效工资、机关事业单位基本养老保险缴费、职业年金缴费、职工基本医疗保险缴费、医疗费、其他工资福利支出、医疗费补助、奖励金。</w:t>
      </w:r>
    </w:p>
    <w:p>
      <w:pPr>
        <w:autoSpaceDE w:val="0"/>
        <w:autoSpaceDN w:val="0"/>
        <w:adjustRightInd w:val="0"/>
        <w:spacing w:line="579" w:lineRule="exact"/>
        <w:ind w:firstLine="600" w:firstLineChars="200"/>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1,323,761.00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办公费、咨询费、水费、取暖费、物业管理费、福利费。</w:t>
      </w:r>
    </w:p>
    <w:p>
      <w:pPr>
        <w:autoSpaceDE w:val="0"/>
        <w:autoSpaceDN w:val="0"/>
        <w:adjustRightInd w:val="0"/>
        <w:spacing w:line="579" w:lineRule="exact"/>
        <w:ind w:firstLine="640" w:firstLineChars="200"/>
        <w:outlineLvl w:val="1"/>
        <w:rPr>
          <w:rFonts w:ascii="Times New Roman" w:hAnsi="Times New Roman" w:eastAsia="黑体" w:cs="黑体"/>
          <w:kern w:val="0"/>
          <w:sz w:val="32"/>
          <w:szCs w:val="32"/>
          <w:lang w:val="zh-CN"/>
        </w:rPr>
      </w:pPr>
      <w:bookmarkStart w:id="14" w:name="_Toc173315859"/>
      <w:r>
        <w:rPr>
          <w:rFonts w:hint="eastAsia" w:ascii="Times New Roman" w:hAnsi="Times New Roman" w:eastAsia="黑体" w:cs="黑体"/>
          <w:kern w:val="0"/>
          <w:sz w:val="32"/>
          <w:szCs w:val="32"/>
          <w:lang w:val="zh-CN"/>
        </w:rPr>
        <w:t>七、政府性基金预算财政拨款收支决算情况</w:t>
      </w:r>
      <w:bookmarkEnd w:id="14"/>
    </w:p>
    <w:p>
      <w:pPr>
        <w:autoSpaceDE w:val="0"/>
        <w:autoSpaceDN w:val="0"/>
        <w:adjustRightInd w:val="0"/>
        <w:spacing w:line="579" w:lineRule="exact"/>
        <w:ind w:firstLine="600" w:firstLineChars="200"/>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天津市公共资源交易中心（天津市政府采购中心）2023年度无政府性基金预算财政拨款收入、支出和结转结余。</w:t>
      </w:r>
      <w:r>
        <w:rPr>
          <w:rFonts w:hint="eastAsia" w:ascii="Times New Roman" w:hAnsi="Times New Roman" w:eastAsia="仿宋_GB2312" w:cs="仿宋_GB2312"/>
          <w:sz w:val="30"/>
          <w:szCs w:val="30"/>
        </w:rPr>
        <w:tab/>
      </w:r>
    </w:p>
    <w:p>
      <w:pPr>
        <w:autoSpaceDE w:val="0"/>
        <w:autoSpaceDN w:val="0"/>
        <w:adjustRightInd w:val="0"/>
        <w:spacing w:line="579" w:lineRule="exact"/>
        <w:ind w:firstLine="640" w:firstLineChars="200"/>
        <w:outlineLvl w:val="1"/>
        <w:rPr>
          <w:rFonts w:ascii="Times New Roman" w:hAnsi="Times New Roman" w:eastAsia="黑体" w:cs="黑体"/>
          <w:kern w:val="0"/>
          <w:sz w:val="32"/>
          <w:szCs w:val="32"/>
          <w:lang w:val="zh-CN"/>
        </w:rPr>
      </w:pPr>
      <w:r>
        <w:rPr>
          <w:rFonts w:hint="eastAsia" w:ascii="Times New Roman" w:hAnsi="Times New Roman" w:eastAsia="黑体" w:cs="黑体"/>
          <w:kern w:val="0"/>
          <w:sz w:val="32"/>
          <w:szCs w:val="32"/>
          <w:lang w:val="zh-CN"/>
        </w:rPr>
        <w:t>八、国有资本经营预算财政拨款收支决算情况说明</w:t>
      </w:r>
    </w:p>
    <w:p>
      <w:pPr>
        <w:autoSpaceDE w:val="0"/>
        <w:autoSpaceDN w:val="0"/>
        <w:adjustRightInd w:val="0"/>
        <w:spacing w:line="579" w:lineRule="exact"/>
        <w:ind w:firstLine="600" w:firstLineChars="200"/>
        <w:outlineLvl w:val="1"/>
        <w:rPr>
          <w:rFonts w:ascii="Times New Roman" w:hAnsi="Times New Roman" w:eastAsia="仿宋_GB2312" w:cs="仿宋_GB2312"/>
          <w:sz w:val="30"/>
          <w:szCs w:val="30"/>
        </w:rPr>
      </w:pPr>
      <w:bookmarkStart w:id="15" w:name="_Toc173315860"/>
      <w:r>
        <w:rPr>
          <w:rFonts w:hint="eastAsia" w:ascii="Times New Roman" w:hAnsi="Times New Roman" w:eastAsia="仿宋_GB2312" w:cs="仿宋_GB2312"/>
          <w:sz w:val="30"/>
          <w:szCs w:val="30"/>
        </w:rPr>
        <w:t>天津市公共资源交易中心（天津市政府采购中心）2023年度无国有资本经营预算财政拨款收入、支出和结转结余。</w:t>
      </w:r>
      <w:bookmarkEnd w:id="15"/>
    </w:p>
    <w:p>
      <w:pPr>
        <w:autoSpaceDE w:val="0"/>
        <w:autoSpaceDN w:val="0"/>
        <w:adjustRightInd w:val="0"/>
        <w:spacing w:line="579" w:lineRule="exact"/>
        <w:ind w:firstLine="640" w:firstLineChars="200"/>
        <w:outlineLvl w:val="1"/>
        <w:rPr>
          <w:rFonts w:ascii="Times New Roman" w:hAnsi="Times New Roman" w:eastAsia="黑体" w:cs="黑体"/>
          <w:kern w:val="0"/>
          <w:sz w:val="32"/>
          <w:szCs w:val="32"/>
          <w:lang w:val="zh-CN"/>
        </w:rPr>
      </w:pPr>
      <w:bookmarkStart w:id="16" w:name="_Toc173315861"/>
      <w:r>
        <w:rPr>
          <w:rFonts w:hint="eastAsia" w:ascii="Times New Roman" w:hAnsi="Times New Roman" w:eastAsia="黑体" w:cs="黑体"/>
          <w:kern w:val="0"/>
          <w:sz w:val="32"/>
          <w:szCs w:val="32"/>
          <w:lang w:val="zh-CN"/>
        </w:rPr>
        <w:t>九、财政拨款“三公”经费支出决算情况</w:t>
      </w:r>
      <w:bookmarkEnd w:id="16"/>
    </w:p>
    <w:p>
      <w:pPr>
        <w:autoSpaceDE w:val="0"/>
        <w:autoSpaceDN w:val="0"/>
        <w:adjustRightInd w:val="0"/>
        <w:spacing w:line="579" w:lineRule="exact"/>
        <w:ind w:firstLine="600" w:firstLineChars="200"/>
        <w:rPr>
          <w:rFonts w:ascii="Times New Roman" w:hAnsi="Times New Roman" w:eastAsia="楷体" w:cs="楷体"/>
          <w:b/>
          <w:bCs/>
          <w:kern w:val="0"/>
          <w:sz w:val="30"/>
          <w:szCs w:val="30"/>
        </w:rPr>
      </w:pPr>
      <w:r>
        <w:rPr>
          <w:rFonts w:hint="eastAsia" w:ascii="楷体_GB2312" w:hAnsi="楷体_GB2312" w:eastAsia="楷体_GB2312" w:cs="楷体_GB2312"/>
          <w:kern w:val="0"/>
          <w:sz w:val="30"/>
          <w:szCs w:val="30"/>
        </w:rPr>
        <w:t>（一）总体情况</w:t>
      </w:r>
      <w:r>
        <w:rPr>
          <w:rFonts w:hint="eastAsia" w:ascii="楷体_GB2312" w:hAnsi="楷体_GB2312" w:eastAsia="楷体_GB2312" w:cs="楷体_GB2312"/>
          <w:kern w:val="0"/>
          <w:sz w:val="30"/>
          <w:szCs w:val="30"/>
        </w:rPr>
        <w:tab/>
      </w:r>
      <w:r>
        <w:rPr>
          <w:rFonts w:hint="eastAsia" w:ascii="楷体_GB2312" w:hAnsi="楷体_GB2312" w:eastAsia="楷体_GB2312" w:cs="楷体_GB2312"/>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579"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本年度未用财政拨款经费列支“三公”经费。</w:t>
      </w:r>
    </w:p>
    <w:p>
      <w:pPr>
        <w:autoSpaceDE w:val="0"/>
        <w:autoSpaceDN w:val="0"/>
        <w:adjustRightInd w:val="0"/>
        <w:spacing w:line="579" w:lineRule="exact"/>
        <w:ind w:firstLine="600" w:firstLineChars="200"/>
        <w:rPr>
          <w:rFonts w:ascii="楷体_GB2312" w:hAnsi="楷体_GB2312" w:eastAsia="楷体_GB2312" w:cs="楷体_GB2312"/>
          <w:kern w:val="0"/>
          <w:sz w:val="30"/>
          <w:szCs w:val="30"/>
        </w:rPr>
      </w:pPr>
      <w:r>
        <w:rPr>
          <w:rFonts w:hint="eastAsia" w:ascii="楷体_GB2312" w:hAnsi="楷体_GB2312" w:eastAsia="楷体_GB2312" w:cs="楷体_GB2312"/>
          <w:kern w:val="0"/>
          <w:sz w:val="30"/>
          <w:szCs w:val="30"/>
        </w:rPr>
        <w:t>（二）具体情况</w:t>
      </w:r>
    </w:p>
    <w:p>
      <w:pPr>
        <w:autoSpaceDE w:val="0"/>
        <w:autoSpaceDN w:val="0"/>
        <w:adjustRightInd w:val="0"/>
        <w:spacing w:line="579" w:lineRule="exact"/>
        <w:ind w:firstLine="600" w:firstLineChars="2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579"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579" w:lineRule="exact"/>
        <w:ind w:firstLine="600" w:firstLineChars="2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本年度未用财政拨款经费列支公务用车购置费、公务用车运行维护费。</w:t>
      </w:r>
      <w:r>
        <w:rPr>
          <w:rFonts w:hint="eastAsia" w:ascii="Times New Roman" w:hAnsi="Times New Roman" w:eastAsia="仿宋_GB2312" w:cs="仿宋_GB2312"/>
          <w:kern w:val="0"/>
          <w:sz w:val="30"/>
          <w:szCs w:val="30"/>
        </w:rPr>
        <w:t>其中：</w:t>
      </w:r>
    </w:p>
    <w:p>
      <w:pPr>
        <w:autoSpaceDE w:val="0"/>
        <w:autoSpaceDN w:val="0"/>
        <w:adjustRightInd w:val="0"/>
        <w:spacing w:line="579"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本年度未用财政拨款经费列支公务用车运行维护费。</w:t>
      </w:r>
    </w:p>
    <w:p>
      <w:pPr>
        <w:autoSpaceDE w:val="0"/>
        <w:autoSpaceDN w:val="0"/>
        <w:adjustRightInd w:val="0"/>
        <w:spacing w:line="579" w:lineRule="exact"/>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579"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579" w:lineRule="exact"/>
        <w:ind w:firstLine="600" w:firstLineChars="2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579" w:lineRule="exact"/>
        <w:ind w:firstLine="600" w:firstLineChars="2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579" w:lineRule="exact"/>
        <w:ind w:firstLine="600" w:firstLineChars="2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579" w:lineRule="exact"/>
        <w:ind w:firstLine="640" w:firstLineChars="200"/>
        <w:outlineLvl w:val="1"/>
        <w:rPr>
          <w:rFonts w:ascii="Times New Roman" w:hAnsi="Times New Roman" w:eastAsia="黑体" w:cs="黑体"/>
          <w:kern w:val="0"/>
          <w:sz w:val="32"/>
          <w:szCs w:val="32"/>
          <w:lang w:val="zh-CN"/>
        </w:rPr>
      </w:pPr>
      <w:bookmarkStart w:id="17" w:name="_Toc173315862"/>
      <w:r>
        <w:rPr>
          <w:rFonts w:hint="eastAsia" w:ascii="Times New Roman" w:hAnsi="Times New Roman" w:eastAsia="黑体" w:cs="黑体"/>
          <w:kern w:val="0"/>
          <w:sz w:val="32"/>
          <w:szCs w:val="32"/>
          <w:lang w:val="zh-CN"/>
        </w:rPr>
        <w:t>十、机关运行经费支出情况说明</w:t>
      </w:r>
      <w:bookmarkEnd w:id="17"/>
    </w:p>
    <w:p>
      <w:pPr>
        <w:autoSpaceDE w:val="0"/>
        <w:autoSpaceDN w:val="0"/>
        <w:adjustRightInd w:val="0"/>
        <w:spacing w:line="579" w:lineRule="exact"/>
        <w:ind w:firstLine="600" w:firstLineChars="200"/>
        <w:outlineLvl w:val="1"/>
        <w:rPr>
          <w:rFonts w:ascii="Times New Roman" w:hAnsi="Times New Roman" w:eastAsia="仿宋_GB2312" w:cs="仿宋_GB2312"/>
          <w:sz w:val="30"/>
          <w:szCs w:val="30"/>
        </w:rPr>
      </w:pPr>
      <w:bookmarkStart w:id="18" w:name="_Toc173315863"/>
      <w:r>
        <w:rPr>
          <w:rFonts w:hint="eastAsia" w:ascii="Times New Roman" w:hAnsi="Times New Roman" w:eastAsia="仿宋_GB2312" w:cs="仿宋_GB2312"/>
          <w:sz w:val="30"/>
          <w:szCs w:val="30"/>
        </w:rPr>
        <w:t>天津市公共资源交易中心（天津市政府采购中心）2023年度无机关运行经费。</w:t>
      </w:r>
      <w:bookmarkEnd w:id="18"/>
    </w:p>
    <w:p>
      <w:pPr>
        <w:autoSpaceDE w:val="0"/>
        <w:autoSpaceDN w:val="0"/>
        <w:adjustRightInd w:val="0"/>
        <w:spacing w:line="579" w:lineRule="exact"/>
        <w:ind w:firstLine="640" w:firstLineChars="200"/>
        <w:outlineLvl w:val="1"/>
        <w:rPr>
          <w:rFonts w:ascii="Times New Roman" w:hAnsi="Times New Roman" w:eastAsia="黑体" w:cs="黑体"/>
          <w:kern w:val="0"/>
          <w:sz w:val="32"/>
          <w:szCs w:val="32"/>
          <w:lang w:val="zh-CN"/>
        </w:rPr>
      </w:pPr>
      <w:bookmarkStart w:id="19" w:name="_Toc173315864"/>
      <w:r>
        <w:rPr>
          <w:rFonts w:hint="eastAsia" w:ascii="Times New Roman" w:hAnsi="Times New Roman" w:eastAsia="黑体" w:cs="黑体"/>
          <w:kern w:val="0"/>
          <w:sz w:val="32"/>
          <w:szCs w:val="32"/>
          <w:lang w:val="zh-CN"/>
        </w:rPr>
        <w:t>十一、政府采购支出情况说明</w:t>
      </w:r>
      <w:bookmarkEnd w:id="19"/>
    </w:p>
    <w:p>
      <w:pPr>
        <w:wordWrap w:val="0"/>
        <w:autoSpaceDE w:val="0"/>
        <w:autoSpaceDN w:val="0"/>
        <w:adjustRightInd w:val="0"/>
        <w:spacing w:line="579"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天津市公共资源交易中心（天津市政府采购中心）</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6,479,920.00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1,468,320.00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5,011,600.00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4,871,320.00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75.18%</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4,278,320.00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66.02%</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42.26</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84.82</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autoSpaceDE w:val="0"/>
        <w:autoSpaceDN w:val="0"/>
        <w:adjustRightInd w:val="0"/>
        <w:spacing w:line="579" w:lineRule="exact"/>
        <w:ind w:firstLine="640" w:firstLineChars="200"/>
        <w:outlineLvl w:val="1"/>
        <w:rPr>
          <w:rFonts w:ascii="Times New Roman" w:hAnsi="Times New Roman" w:eastAsia="黑体" w:cs="黑体"/>
          <w:kern w:val="0"/>
          <w:sz w:val="32"/>
          <w:szCs w:val="32"/>
          <w:lang w:val="zh-CN"/>
        </w:rPr>
      </w:pPr>
      <w:r>
        <w:rPr>
          <w:rFonts w:hint="eastAsia" w:ascii="Times New Roman" w:hAnsi="Times New Roman" w:eastAsia="黑体" w:cs="黑体"/>
          <w:kern w:val="0"/>
          <w:sz w:val="32"/>
          <w:szCs w:val="32"/>
          <w:lang w:val="zh-CN"/>
        </w:rPr>
        <w:t>十二、国有资产占有使用情况说明</w:t>
      </w:r>
    </w:p>
    <w:p>
      <w:pPr>
        <w:autoSpaceDE w:val="0"/>
        <w:autoSpaceDN w:val="0"/>
        <w:adjustRightInd w:val="0"/>
        <w:spacing w:line="579" w:lineRule="exact"/>
        <w:ind w:firstLine="600" w:firstLineChars="200"/>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日，天津市公共资源交易中心（天津市政府采购中心）共有车辆</w:t>
      </w:r>
      <w:r>
        <w:rPr>
          <w:rFonts w:hint="eastAsia" w:ascii="Times New Roman" w:hAnsi="Times New Roman" w:eastAsia="仿宋_GB2312" w:cs="Times New Roman"/>
          <w:kern w:val="0"/>
          <w:sz w:val="30"/>
          <w:szCs w:val="30"/>
        </w:rPr>
        <w:t>4</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4</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其他业务用车</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3</w:t>
      </w:r>
      <w:r>
        <w:rPr>
          <w:rFonts w:hint="eastAsia" w:ascii="Times New Roman" w:hAnsi="Times New Roman" w:eastAsia="仿宋_GB2312" w:cs="仿宋_GB2312"/>
          <w:kern w:val="0"/>
          <w:sz w:val="30"/>
          <w:szCs w:val="30"/>
        </w:rPr>
        <w:t>台（套）。</w:t>
      </w:r>
    </w:p>
    <w:p>
      <w:pPr>
        <w:autoSpaceDE w:val="0"/>
        <w:autoSpaceDN w:val="0"/>
        <w:adjustRightInd w:val="0"/>
        <w:spacing w:line="579" w:lineRule="exact"/>
        <w:ind w:firstLine="640" w:firstLineChars="200"/>
        <w:outlineLvl w:val="1"/>
        <w:rPr>
          <w:rFonts w:ascii="Times New Roman" w:hAnsi="Times New Roman" w:eastAsia="黑体" w:cs="黑体"/>
          <w:kern w:val="0"/>
          <w:sz w:val="32"/>
          <w:szCs w:val="32"/>
          <w:lang w:val="zh-CN"/>
        </w:rPr>
      </w:pPr>
      <w:r>
        <w:rPr>
          <w:rFonts w:hint="eastAsia" w:ascii="Times New Roman" w:hAnsi="Times New Roman" w:eastAsia="黑体" w:cs="黑体"/>
          <w:kern w:val="0"/>
          <w:sz w:val="32"/>
          <w:szCs w:val="32"/>
          <w:lang w:val="zh-CN"/>
        </w:rPr>
        <w:t>十三、预算绩效情况说明</w:t>
      </w:r>
    </w:p>
    <w:p>
      <w:pPr>
        <w:autoSpaceDE w:val="0"/>
        <w:autoSpaceDN w:val="0"/>
        <w:adjustRightInd w:val="0"/>
        <w:spacing w:line="579"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根据预算绩效管理要求，天津市公共资源交易中心（天津市政府采购中心）2023年度已对2个市级项目开展绩效自评，涉及金额5</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sz w:val="30"/>
          <w:szCs w:val="30"/>
        </w:rPr>
        <w:t>428</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sz w:val="30"/>
          <w:szCs w:val="30"/>
        </w:rPr>
        <w:t>420.00元，自评结果已随部门决算一并公开。</w:t>
      </w:r>
    </w:p>
    <w:p>
      <w:pPr>
        <w:autoSpaceDE w:val="0"/>
        <w:autoSpaceDN w:val="0"/>
        <w:adjustRightInd w:val="0"/>
        <w:spacing w:line="579" w:lineRule="exact"/>
        <w:ind w:firstLine="640" w:firstLineChars="200"/>
        <w:outlineLvl w:val="1"/>
        <w:rPr>
          <w:rFonts w:ascii="Times New Roman" w:hAnsi="Times New Roman" w:eastAsia="黑体" w:cs="黑体"/>
          <w:kern w:val="0"/>
          <w:sz w:val="32"/>
          <w:szCs w:val="32"/>
          <w:lang w:val="zh-CN"/>
        </w:rPr>
      </w:pPr>
      <w:r>
        <w:rPr>
          <w:rFonts w:hint="eastAsia" w:ascii="Times New Roman" w:hAnsi="Times New Roman" w:eastAsia="黑体" w:cs="黑体"/>
          <w:kern w:val="0"/>
          <w:sz w:val="32"/>
          <w:szCs w:val="32"/>
          <w:lang w:val="zh-CN"/>
        </w:rPr>
        <w:t>十四、教育、医疗卫生、社会保障和就业、住房保障、涉农补贴等民生支出情况说明</w:t>
      </w:r>
    </w:p>
    <w:p>
      <w:pPr>
        <w:autoSpaceDE w:val="0"/>
        <w:autoSpaceDN w:val="0"/>
        <w:adjustRightInd w:val="0"/>
        <w:spacing w:line="579"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天津市公共资源交易中心（天津市政府采购中心）不属于乡、镇、街级单位，不涉及公开2023年度教育、医疗卫生、社会保障和就业、住房保障、涉农补贴等民生支出情况。</w:t>
      </w:r>
    </w:p>
    <w:p>
      <w:pPr>
        <w:autoSpaceDE w:val="0"/>
        <w:autoSpaceDN w:val="0"/>
        <w:adjustRightInd w:val="0"/>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autoSpaceDE w:val="0"/>
        <w:autoSpaceDN w:val="0"/>
        <w:adjustRightInd w:val="0"/>
        <w:spacing w:line="660" w:lineRule="exact"/>
        <w:jc w:val="center"/>
        <w:outlineLvl w:val="0"/>
        <w:rPr>
          <w:rFonts w:ascii="Times New Roman" w:hAnsi="Times New Roman" w:eastAsia="方正小标宋简体" w:cs="方正小标宋简体"/>
          <w:kern w:val="44"/>
          <w:sz w:val="44"/>
          <w:szCs w:val="44"/>
        </w:rPr>
      </w:pPr>
      <w:bookmarkStart w:id="20" w:name="_Toc173315865"/>
      <w:r>
        <w:rPr>
          <w:rFonts w:hint="eastAsia" w:ascii="Times New Roman" w:hAnsi="Times New Roman" w:eastAsia="方正小标宋简体" w:cs="方正小标宋简体"/>
          <w:kern w:val="44"/>
          <w:sz w:val="44"/>
          <w:szCs w:val="44"/>
        </w:rPr>
        <w:t>第四部分  名词解释</w:t>
      </w:r>
      <w:bookmarkEnd w:id="20"/>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footerReference r:id="rId4" w:type="default"/>
      <w:type w:val="continuous"/>
      <w:pgSz w:w="11907" w:h="16839"/>
      <w:pgMar w:top="1440" w:right="1800" w:bottom="1440" w:left="1800" w:header="720" w:footer="72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567912"/>
      <w:showingPlcHdr/>
    </w:sdtPr>
    <w:sdtContent>
      <w:p>
        <w:pPr>
          <w:pStyle w:val="6"/>
        </w:pPr>
        <w:r>
          <w:t xml:space="preserve">     </w:t>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9929820"/>
    </w:sdtPr>
    <w:sdtContent>
      <w:p>
        <w:pPr>
          <w:pStyle w:val="6"/>
          <w:jc w:val="center"/>
        </w:pPr>
        <w:r>
          <w:fldChar w:fldCharType="begin"/>
        </w:r>
        <w:r>
          <w:instrText xml:space="preserve">PAGE   \* MERGEFORMAT</w:instrText>
        </w:r>
        <w:r>
          <w:fldChar w:fldCharType="separate"/>
        </w:r>
        <w:r>
          <w:rPr>
            <w:lang w:val="zh-CN"/>
          </w:rPr>
          <w:t>7</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TYxNzQwYTk1MDM4YTdjNWU4MGNkZGU0MzE1ZTMifQ=="/>
  </w:docVars>
  <w:rsids>
    <w:rsidRoot w:val="006A094D"/>
    <w:rsid w:val="00013A12"/>
    <w:rsid w:val="0002687D"/>
    <w:rsid w:val="000352D5"/>
    <w:rsid w:val="00047C6F"/>
    <w:rsid w:val="000528EE"/>
    <w:rsid w:val="00066C04"/>
    <w:rsid w:val="000719FD"/>
    <w:rsid w:val="00096755"/>
    <w:rsid w:val="000A1A94"/>
    <w:rsid w:val="000B5C71"/>
    <w:rsid w:val="000D2F80"/>
    <w:rsid w:val="000D4B98"/>
    <w:rsid w:val="000D5DF0"/>
    <w:rsid w:val="00122CE5"/>
    <w:rsid w:val="00127EFA"/>
    <w:rsid w:val="00142888"/>
    <w:rsid w:val="001442A0"/>
    <w:rsid w:val="00152EEB"/>
    <w:rsid w:val="00153077"/>
    <w:rsid w:val="00167CB7"/>
    <w:rsid w:val="001A0E4F"/>
    <w:rsid w:val="001B5C3C"/>
    <w:rsid w:val="001C0399"/>
    <w:rsid w:val="001D587E"/>
    <w:rsid w:val="00203B7F"/>
    <w:rsid w:val="002124F6"/>
    <w:rsid w:val="00222B97"/>
    <w:rsid w:val="002444BD"/>
    <w:rsid w:val="002631F9"/>
    <w:rsid w:val="00264B59"/>
    <w:rsid w:val="00264DEE"/>
    <w:rsid w:val="00266C89"/>
    <w:rsid w:val="0026707C"/>
    <w:rsid w:val="00284D7D"/>
    <w:rsid w:val="002A4997"/>
    <w:rsid w:val="002B5EA5"/>
    <w:rsid w:val="002D20DC"/>
    <w:rsid w:val="002E6086"/>
    <w:rsid w:val="002F2255"/>
    <w:rsid w:val="00302490"/>
    <w:rsid w:val="003227B2"/>
    <w:rsid w:val="003375B4"/>
    <w:rsid w:val="00346740"/>
    <w:rsid w:val="003536BE"/>
    <w:rsid w:val="003604DC"/>
    <w:rsid w:val="00371A26"/>
    <w:rsid w:val="0037329E"/>
    <w:rsid w:val="00392068"/>
    <w:rsid w:val="003B25FB"/>
    <w:rsid w:val="003B3EE1"/>
    <w:rsid w:val="003C4090"/>
    <w:rsid w:val="003E2DB6"/>
    <w:rsid w:val="003E70C5"/>
    <w:rsid w:val="003F33DB"/>
    <w:rsid w:val="004011A2"/>
    <w:rsid w:val="00410501"/>
    <w:rsid w:val="004763B2"/>
    <w:rsid w:val="004A2ECF"/>
    <w:rsid w:val="004A482F"/>
    <w:rsid w:val="004B4EAE"/>
    <w:rsid w:val="004F39BF"/>
    <w:rsid w:val="0050077F"/>
    <w:rsid w:val="005062D7"/>
    <w:rsid w:val="00507A0D"/>
    <w:rsid w:val="00516050"/>
    <w:rsid w:val="005175E6"/>
    <w:rsid w:val="00525157"/>
    <w:rsid w:val="005349A2"/>
    <w:rsid w:val="00541B14"/>
    <w:rsid w:val="0057486C"/>
    <w:rsid w:val="00575537"/>
    <w:rsid w:val="0058358D"/>
    <w:rsid w:val="005849CD"/>
    <w:rsid w:val="005B25A8"/>
    <w:rsid w:val="005D1367"/>
    <w:rsid w:val="005D3F56"/>
    <w:rsid w:val="00612237"/>
    <w:rsid w:val="00654D17"/>
    <w:rsid w:val="006623EC"/>
    <w:rsid w:val="00665B0A"/>
    <w:rsid w:val="006A094D"/>
    <w:rsid w:val="006B6FCB"/>
    <w:rsid w:val="006D2409"/>
    <w:rsid w:val="006D350F"/>
    <w:rsid w:val="006D76DA"/>
    <w:rsid w:val="006E65DB"/>
    <w:rsid w:val="00725D29"/>
    <w:rsid w:val="00733218"/>
    <w:rsid w:val="00776792"/>
    <w:rsid w:val="00776FF3"/>
    <w:rsid w:val="0078156E"/>
    <w:rsid w:val="00786E74"/>
    <w:rsid w:val="007B737D"/>
    <w:rsid w:val="007D1098"/>
    <w:rsid w:val="007D1285"/>
    <w:rsid w:val="007E49E1"/>
    <w:rsid w:val="007F1394"/>
    <w:rsid w:val="007F6DA7"/>
    <w:rsid w:val="00803CF0"/>
    <w:rsid w:val="008174D5"/>
    <w:rsid w:val="00832955"/>
    <w:rsid w:val="00857197"/>
    <w:rsid w:val="008617EF"/>
    <w:rsid w:val="00870A58"/>
    <w:rsid w:val="00882721"/>
    <w:rsid w:val="00885126"/>
    <w:rsid w:val="0089698B"/>
    <w:rsid w:val="008B4A27"/>
    <w:rsid w:val="008B7035"/>
    <w:rsid w:val="008D48A9"/>
    <w:rsid w:val="008F5BCC"/>
    <w:rsid w:val="00941A30"/>
    <w:rsid w:val="00977DCC"/>
    <w:rsid w:val="009820CF"/>
    <w:rsid w:val="00982A8B"/>
    <w:rsid w:val="009916D7"/>
    <w:rsid w:val="009A7ED3"/>
    <w:rsid w:val="009B270A"/>
    <w:rsid w:val="009B6544"/>
    <w:rsid w:val="009D74D7"/>
    <w:rsid w:val="009E66E6"/>
    <w:rsid w:val="00A00408"/>
    <w:rsid w:val="00A57AE7"/>
    <w:rsid w:val="00A7416E"/>
    <w:rsid w:val="00A92042"/>
    <w:rsid w:val="00A97F48"/>
    <w:rsid w:val="00AA3CD8"/>
    <w:rsid w:val="00AD7FE7"/>
    <w:rsid w:val="00AF71AE"/>
    <w:rsid w:val="00B00747"/>
    <w:rsid w:val="00B02EDF"/>
    <w:rsid w:val="00B33C70"/>
    <w:rsid w:val="00B54B5D"/>
    <w:rsid w:val="00B75228"/>
    <w:rsid w:val="00B811F1"/>
    <w:rsid w:val="00B81B9F"/>
    <w:rsid w:val="00B870BC"/>
    <w:rsid w:val="00BB4C63"/>
    <w:rsid w:val="00BB6153"/>
    <w:rsid w:val="00BC763A"/>
    <w:rsid w:val="00BC7D6F"/>
    <w:rsid w:val="00BD3CAC"/>
    <w:rsid w:val="00BE5A29"/>
    <w:rsid w:val="00BF697A"/>
    <w:rsid w:val="00C431E8"/>
    <w:rsid w:val="00C52E77"/>
    <w:rsid w:val="00C65A44"/>
    <w:rsid w:val="00C76AC3"/>
    <w:rsid w:val="00C83EB4"/>
    <w:rsid w:val="00CD6796"/>
    <w:rsid w:val="00CF7FDF"/>
    <w:rsid w:val="00D0574D"/>
    <w:rsid w:val="00D4505A"/>
    <w:rsid w:val="00D53017"/>
    <w:rsid w:val="00D65B41"/>
    <w:rsid w:val="00D8150A"/>
    <w:rsid w:val="00D92CC9"/>
    <w:rsid w:val="00D94EED"/>
    <w:rsid w:val="00DC202A"/>
    <w:rsid w:val="00DC3234"/>
    <w:rsid w:val="00DC3CD0"/>
    <w:rsid w:val="00DD60B5"/>
    <w:rsid w:val="00DE247C"/>
    <w:rsid w:val="00E17FF6"/>
    <w:rsid w:val="00E22E54"/>
    <w:rsid w:val="00E7602B"/>
    <w:rsid w:val="00E964B2"/>
    <w:rsid w:val="00EA0C94"/>
    <w:rsid w:val="00EA6549"/>
    <w:rsid w:val="00EB42A7"/>
    <w:rsid w:val="00EC2000"/>
    <w:rsid w:val="00EC4ABD"/>
    <w:rsid w:val="00EE5CE8"/>
    <w:rsid w:val="00F007FE"/>
    <w:rsid w:val="00F31161"/>
    <w:rsid w:val="00F92EE7"/>
    <w:rsid w:val="00FA7930"/>
    <w:rsid w:val="00FB05A4"/>
    <w:rsid w:val="00FD6E27"/>
    <w:rsid w:val="00FE7CBF"/>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ED83405"/>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5FF6940B"/>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481131"/>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 w:val="EFFE0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3"/>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4"/>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标题 1 Char"/>
    <w:basedOn w:val="11"/>
    <w:link w:val="2"/>
    <w:qFormat/>
    <w:uiPriority w:val="99"/>
    <w:rPr>
      <w:rFonts w:ascii="方正小标宋简体" w:eastAsia="方正小标宋简体"/>
      <w:kern w:val="0"/>
      <w:sz w:val="24"/>
      <w:szCs w:val="24"/>
    </w:rPr>
  </w:style>
  <w:style w:type="character" w:customStyle="1" w:styleId="14">
    <w:name w:val="标题 2 Char"/>
    <w:basedOn w:val="11"/>
    <w:link w:val="3"/>
    <w:qFormat/>
    <w:uiPriority w:val="99"/>
    <w:rPr>
      <w:rFonts w:ascii="方正小标宋简体" w:eastAsia="方正小标宋简体"/>
      <w:kern w:val="0"/>
      <w:sz w:val="24"/>
      <w:szCs w:val="24"/>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批注框文本 Char"/>
    <w:basedOn w:val="11"/>
    <w:link w:val="5"/>
    <w:semiHidden/>
    <w:qFormat/>
    <w:uiPriority w:val="99"/>
    <w:rPr>
      <w:kern w:val="2"/>
      <w:sz w:val="18"/>
      <w:szCs w:val="18"/>
      <w14:ligatures w14:val="standardContextual"/>
    </w:rPr>
  </w:style>
  <w:style w:type="paragraph" w:customStyle="1" w:styleId="18">
    <w:name w:val="TOC 标题1"/>
    <w:basedOn w:val="2"/>
    <w:next w:val="1"/>
    <w:unhideWhenUsed/>
    <w:qFormat/>
    <w:uiPriority w:val="39"/>
    <w:pPr>
      <w:keepNext/>
      <w:keepLines/>
      <w:widowControl/>
      <w:autoSpaceDE/>
      <w:autoSpaceDN/>
      <w:adjustRightInd/>
      <w:spacing w:before="480" w:line="276" w:lineRule="auto"/>
      <w:outlineLvl w:val="9"/>
    </w:pPr>
    <w:rPr>
      <w:rFonts w:asciiTheme="majorHAnsi" w:hAnsiTheme="majorHAnsi" w:eastAsiaTheme="majorEastAsia" w:cstheme="majorBidi"/>
      <w:b/>
      <w:bCs/>
      <w:color w:val="2F5597" w:themeColor="accent1" w:themeShade="BF"/>
      <w:sz w:val="28"/>
      <w:szCs w:val="28"/>
      <w14:ligatures w14:val="none"/>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12</Pages>
  <Words>819</Words>
  <Characters>4669</Characters>
  <Lines>38</Lines>
  <Paragraphs>10</Paragraphs>
  <TotalTime>194</TotalTime>
  <ScaleCrop>false</ScaleCrop>
  <LinksUpToDate>false</LinksUpToDate>
  <CharactersWithSpaces>5478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2024-09-02T17:07:00Z</dcterms:created>
  <dc:creator>office</dc:creator>
  <cp:lastModifiedBy>kylin</cp:lastModifiedBy>
  <cp:lastPrinted>2024-08-30T09:08:00Z</cp:lastPrinted>
  <dcterms:modified xsi:type="dcterms:W3CDTF">2024-09-09T13:52:55Z</dcterms:modified>
  <dc:title>天津市公共资源交易中心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66AF4A72D3868CB4E39FC666010627CD</vt:lpwstr>
  </property>
</Properties>
</file>