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color w:val="000000"/>
          <w:sz w:val="52"/>
        </w:rPr>
      </w:pPr>
      <w:bookmarkStart w:id="0" w:name="_GoBack"/>
      <w:bookmarkEnd w:id="0"/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  <w:rPr>
          <w:rFonts w:eastAsia="方正小标宋_GBK" w:cs="方正小标宋_GBK" w:asciiTheme="minorHAnsi" w:hAnsiTheme="minorHAnsi"/>
          <w:color w:val="000000"/>
          <w:sz w:val="52"/>
          <w:lang w:val="uk-UA"/>
        </w:rPr>
      </w:pPr>
    </w:p>
    <w:p>
      <w:pPr>
        <w:jc w:val="center"/>
        <w:rPr>
          <w:rFonts w:eastAsia="方正小标宋_GBK" w:cs="方正小标宋_GBK" w:asciiTheme="minorHAnsi" w:hAnsiTheme="minorHAnsi"/>
          <w:color w:val="000000"/>
          <w:sz w:val="52"/>
          <w:lang w:val="uk-UA"/>
        </w:rPr>
      </w:pPr>
    </w:p>
    <w:p>
      <w:pPr>
        <w:jc w:val="center"/>
        <w:rPr>
          <w:rFonts w:asciiTheme="minorHAnsi" w:hAnsiTheme="minorHAnsi"/>
          <w:lang w:val="uk-UA"/>
        </w:r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  <w:rPr>
          <w:rFonts w:hint="default" w:ascii="方正小标宋简体" w:hAnsi="方正小标宋_GBK" w:eastAsia="方正小标宋简体" w:cs="方正小标宋_GBK"/>
          <w:color w:val="000000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56"/>
          <w:szCs w:val="56"/>
        </w:rPr>
        <w:t>天津市</w:t>
      </w:r>
      <w:r>
        <w:rPr>
          <w:rFonts w:hint="default" w:ascii="方正小标宋简体" w:hAnsi="方正小标宋_GBK" w:eastAsia="方正小标宋简体" w:cs="方正小标宋_GBK"/>
          <w:color w:val="000000"/>
          <w:sz w:val="56"/>
          <w:szCs w:val="56"/>
        </w:rPr>
        <w:t>便民专线服务中心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宋体" w:eastAsia="方正小标宋简体" w:cs="宋体"/>
          <w:color w:val="000000"/>
          <w:sz w:val="56"/>
          <w:szCs w:val="56"/>
        </w:rPr>
        <w:t xml:space="preserve"> </w:t>
      </w:r>
      <w:r>
        <w:rPr>
          <w:rFonts w:hint="eastAsia" w:ascii="方正小标宋简体" w:eastAsia="方正小标宋简体"/>
          <w:color w:val="000000"/>
          <w:sz w:val="56"/>
          <w:szCs w:val="56"/>
          <w:lang w:eastAsia="zh-CN"/>
        </w:rPr>
        <w:t>项目支出绩效目标表</w:t>
      </w: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color w:val="000000"/>
          <w:sz w:val="52"/>
          <w:szCs w:val="52"/>
        </w:rPr>
        <w:t>（</w:t>
      </w:r>
      <w:r>
        <w:rPr>
          <w:rFonts w:hint="eastAsia" w:ascii="方正小标宋简体" w:eastAsia="方正小标宋简体"/>
          <w:color w:val="000000"/>
          <w:sz w:val="52"/>
          <w:szCs w:val="52"/>
          <w:lang w:eastAsia="zh-CN"/>
        </w:rPr>
        <w:t>202</w:t>
      </w:r>
      <w:r>
        <w:rPr>
          <w:rFonts w:hint="eastAsia" w:ascii="方正小标宋简体" w:eastAsia="方正小标宋简体"/>
          <w:color w:val="000000"/>
          <w:sz w:val="52"/>
          <w:szCs w:val="52"/>
          <w:lang w:val="en-US" w:eastAsia="zh-CN"/>
        </w:rPr>
        <w:t>5</w:t>
      </w:r>
      <w:r>
        <w:rPr>
          <w:rFonts w:hint="eastAsia" w:ascii="方正小标宋简体" w:eastAsia="方正小标宋简体"/>
          <w:color w:val="000000"/>
          <w:sz w:val="52"/>
          <w:szCs w:val="52"/>
          <w:lang w:eastAsia="zh-CN"/>
        </w:rPr>
        <w:t>年</w:t>
      </w:r>
      <w:r>
        <w:rPr>
          <w:rFonts w:hint="eastAsia" w:ascii="方正小标宋简体" w:eastAsia="方正小标宋简体"/>
          <w:color w:val="000000"/>
          <w:sz w:val="52"/>
          <w:szCs w:val="52"/>
        </w:rPr>
        <w:t>）</w:t>
      </w:r>
    </w:p>
    <w:p>
      <w:pPr>
        <w:jc w:val="center"/>
      </w:pP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  <w:rPr>
          <w:rFonts w:ascii="黑体" w:hAnsi="黑体" w:eastAsia="黑体"/>
        </w:rPr>
      </w:pPr>
      <w:r>
        <w:rPr>
          <w:rFonts w:ascii="黑体" w:hAnsi="黑体" w:eastAsia="黑体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eastAsia="仿宋_GB2312"/>
          <w:kern w:val="2"/>
          <w:sz w:val="30"/>
          <w:szCs w:val="30"/>
          <w:lang w:eastAsia="zh-CN"/>
        </w:rPr>
      </w:pPr>
      <w:r>
        <w:rPr>
          <w:rFonts w:eastAsia="仿宋_GB2312"/>
          <w:color w:val="000000"/>
          <w:sz w:val="28"/>
          <w:szCs w:val="28"/>
        </w:rPr>
        <w:fldChar w:fldCharType="begin"/>
      </w:r>
      <w:r>
        <w:rPr>
          <w:rFonts w:eastAsia="仿宋_GB2312"/>
          <w:color w:val="000000"/>
          <w:sz w:val="28"/>
          <w:szCs w:val="28"/>
        </w:rPr>
        <w:instrText xml:space="preserve"> TOC \o "4-4" \n \h \z \u </w:instrText>
      </w:r>
      <w:r>
        <w:rPr>
          <w:rFonts w:eastAsia="仿宋_GB2312"/>
          <w:color w:val="000000"/>
          <w:sz w:val="28"/>
          <w:szCs w:val="28"/>
        </w:rPr>
        <w:fldChar w:fldCharType="separate"/>
      </w:r>
    </w:p>
    <w:p>
      <w:pPr>
        <w:pStyle w:val="5"/>
        <w:keepNext w:val="0"/>
        <w:keepLines w:val="0"/>
        <w:pageBreakBefore w:val="0"/>
        <w:widowControl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Style w:val="10"/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"_Toc126829026"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  <w:t>1</w:t>
      </w:r>
      <w:r>
        <w:rPr>
          <w:rStyle w:val="10"/>
          <w:rFonts w:hint="eastAsia" w:ascii="仿宋_GB2312" w:hAnsi="仿宋_GB2312" w:eastAsia="仿宋_GB2312" w:cs="仿宋_GB2312"/>
          <w:sz w:val="30"/>
          <w:szCs w:val="30"/>
        </w:rPr>
        <w:t>.</w:t>
      </w:r>
      <w:r>
        <w:rPr>
          <w:rStyle w:val="10"/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  <w:t>天津市便民热线信息服务平台软件维护项目绩效目标表</w:t>
      </w:r>
      <w:r>
        <w:rPr>
          <w:rStyle w:val="10"/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10"/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2.天津市便民专线服务中心话务系统云服务项目绩效目标表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10"/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3.天津</w:t>
      </w:r>
      <w:r>
        <w:rPr>
          <w:rStyle w:val="10"/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12345</w:t>
      </w:r>
      <w:r>
        <w:rPr>
          <w:rStyle w:val="10"/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热线质量控制和督办体系建设项目绩效目标表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10"/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4.天津12345政务服务便民热线平台智能化扩容升级项目-2024一般债绩效目标表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10"/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5.天津12345政务服务便民热线平台智能化升级和与110报警服务平台对接项目-2024一般债绩效目标表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10"/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6.天津市便民专线服务中心一般债券利息</w:t>
      </w: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-</w:t>
      </w:r>
      <w:r>
        <w:rPr>
          <w:rStyle w:val="10"/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2025年债券利息绩效目标表</w:t>
      </w:r>
    </w:p>
    <w:p>
      <w:pPr>
        <w:pStyle w:val="5"/>
        <w:keepNext w:val="0"/>
        <w:keepLines w:val="0"/>
        <w:pageBreakBefore w:val="0"/>
        <w:widowControl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</w:pPr>
    </w:p>
    <w:p>
      <w:pPr>
        <w:pStyle w:val="5"/>
        <w:keepNext w:val="0"/>
        <w:keepLines w:val="0"/>
        <w:pageBreakBefore w:val="0"/>
        <w:widowControl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</w:pPr>
    </w:p>
    <w:p>
      <w:pPr>
        <w:pStyle w:val="5"/>
        <w:keepNext w:val="0"/>
        <w:keepLines w:val="0"/>
        <w:pageBreakBefore w:val="0"/>
        <w:widowControl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</w:pPr>
    </w:p>
    <w:p>
      <w:pPr>
        <w:pStyle w:val="5"/>
        <w:keepNext w:val="0"/>
        <w:keepLines w:val="0"/>
        <w:pageBreakBefore w:val="0"/>
        <w:widowControl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</w:pPr>
    </w:p>
    <w:p>
      <w:pPr>
        <w:pStyle w:val="5"/>
        <w:keepNext w:val="0"/>
        <w:keepLines w:val="0"/>
        <w:pageBreakBefore w:val="0"/>
        <w:widowControl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</w:pPr>
    </w:p>
    <w:p>
      <w:pPr>
        <w:pStyle w:val="5"/>
        <w:keepNext w:val="0"/>
        <w:keepLines w:val="0"/>
        <w:pageBreakBefore w:val="0"/>
        <w:widowControl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</w:pPr>
    </w:p>
    <w:p>
      <w:pPr>
        <w:pStyle w:val="5"/>
        <w:keepNext w:val="0"/>
        <w:keepLines w:val="0"/>
        <w:pageBreakBefore w:val="0"/>
        <w:widowControl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</w:pPr>
    </w:p>
    <w:p>
      <w:pPr>
        <w:pStyle w:val="5"/>
        <w:keepNext w:val="0"/>
        <w:keepLines w:val="0"/>
        <w:pageBreakBefore w:val="0"/>
        <w:widowControl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</w:pPr>
    </w:p>
    <w:p>
      <w:pPr>
        <w:pStyle w:val="5"/>
        <w:keepNext w:val="0"/>
        <w:keepLines w:val="0"/>
        <w:pageBreakBefore w:val="0"/>
        <w:widowControl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</w:pPr>
    </w:p>
    <w:p>
      <w:pPr>
        <w:pStyle w:val="5"/>
        <w:keepNext w:val="0"/>
        <w:keepLines w:val="0"/>
        <w:pageBreakBefore w:val="0"/>
        <w:widowControl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</w:pPr>
    </w:p>
    <w:p/>
    <w:p/>
    <w:p/>
    <w:p>
      <w:pPr>
        <w:pStyle w:val="5"/>
        <w:keepNext w:val="0"/>
        <w:keepLines w:val="0"/>
        <w:pageBreakBefore w:val="0"/>
        <w:widowControl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</w:pP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65"/>
        <w:gridCol w:w="1272"/>
        <w:gridCol w:w="1493"/>
        <w:gridCol w:w="1759"/>
        <w:gridCol w:w="1215"/>
        <w:gridCol w:w="1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1.天津市便民热线信息服务平台软件维护项目绩效目标表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单位：天津市便民专线服务中心                                                  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35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天津市便民热线信息服务平台软件维护项目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预算规模及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资金用途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其中：财政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资金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确保天津市便民热线信息服务平台信息安全和数据安全，连续稳定运行，减少业务中断带来的影响，提高应对突发事件的组织指挥能力和应急处置能力，最大限度地预防和减少突发信息安全事件及其造成的损害，确保系统的安全畅通，为用户提供及时、有效、稳定的服务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435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确保天津市便民热线信息服务平台信息安全和数据安全，连续稳定运行，减少业务中断带来的影响，提高应对突发事件的组织指挥能力和应急处置能力，最大限度地预防和减少突发信息安全事件及其造成的损害，确保系统的安全畅通，为用户提供及时、有效、稳定的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绩效指标描述</w:t>
            </w:r>
          </w:p>
        </w:tc>
        <w:tc>
          <w:tcPr>
            <w:tcW w:w="1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业务系统巡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</w:t>
            </w:r>
          </w:p>
        </w:tc>
        <w:tc>
          <w:tcPr>
            <w:tcW w:w="17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运维人员系统巡检次数</w:t>
            </w:r>
          </w:p>
        </w:tc>
        <w:tc>
          <w:tcPr>
            <w:tcW w:w="1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4次/</w:t>
            </w:r>
            <w:r>
              <w:rPr>
                <w:rStyle w:val="20"/>
                <w:lang w:val="en-US" w:eastAsia="zh-CN" w:bidi="ar"/>
              </w:rPr>
              <w:t>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系统无故障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运行率</w:t>
            </w:r>
          </w:p>
        </w:tc>
        <w:tc>
          <w:tcPr>
            <w:tcW w:w="17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工单系统无故障运行情况</w:t>
            </w:r>
          </w:p>
        </w:tc>
        <w:tc>
          <w:tcPr>
            <w:tcW w:w="1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系统故障修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复时间</w:t>
            </w:r>
          </w:p>
        </w:tc>
        <w:tc>
          <w:tcPr>
            <w:tcW w:w="17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工单系统故障后修复的最长时间</w:t>
            </w:r>
          </w:p>
        </w:tc>
        <w:tc>
          <w:tcPr>
            <w:tcW w:w="1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≤6小时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运维成本</w:t>
            </w:r>
          </w:p>
        </w:tc>
        <w:tc>
          <w:tcPr>
            <w:tcW w:w="17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本项目运行维护的资金投入</w:t>
            </w:r>
          </w:p>
        </w:tc>
        <w:tc>
          <w:tcPr>
            <w:tcW w:w="1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服务满意度</w:t>
            </w:r>
          </w:p>
        </w:tc>
        <w:tc>
          <w:tcPr>
            <w:tcW w:w="17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企业和群众的满意度</w:t>
            </w:r>
          </w:p>
        </w:tc>
        <w:tc>
          <w:tcPr>
            <w:tcW w:w="1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意度指标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用户单位满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意度</w:t>
            </w:r>
          </w:p>
        </w:tc>
        <w:tc>
          <w:tcPr>
            <w:tcW w:w="17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项目主管单位满意度</w:t>
            </w:r>
          </w:p>
        </w:tc>
        <w:tc>
          <w:tcPr>
            <w:tcW w:w="1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≥98%</w:t>
            </w:r>
          </w:p>
        </w:tc>
      </w:tr>
    </w:tbl>
    <w:p>
      <w:pPr>
        <w:sectPr>
          <w:footerReference r:id="rId3" w:type="default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335"/>
        <w:gridCol w:w="1329"/>
        <w:gridCol w:w="1594"/>
        <w:gridCol w:w="1624"/>
        <w:gridCol w:w="1160"/>
        <w:gridCol w:w="1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2.</w:t>
            </w: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天津市便民专线服务中心话务系统云服务项目绩效目标表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单位：天津市便民专线服务中心                                                      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31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天津市便民专线服务中心话务系统云服务项目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预算规模及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资金用途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其中：财政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采购600套云桌面服务和1套信创话务系统服务，提升话务员座席办公效率，实现继承现有话务系统语音话务能力，话务系统支撑能力、响应速度和稳定性明显增强。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431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1.采购600套云桌面服务和1套信创话务系统服务，提升话务员座席办公效率，实现继承现有话务系统语音话务能力，话务系统支撑能力、响应速度和稳定性明显增强。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6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绩效指标描述</w:t>
            </w:r>
          </w:p>
        </w:tc>
        <w:tc>
          <w:tcPr>
            <w:tcW w:w="12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完成替代计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算机终端数</w:t>
            </w:r>
          </w:p>
        </w:tc>
        <w:tc>
          <w:tcPr>
            <w:tcW w:w="16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话务员座席电脑替换数量</w:t>
            </w:r>
          </w:p>
        </w:tc>
        <w:tc>
          <w:tcPr>
            <w:tcW w:w="12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600点位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系统正常运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行率</w:t>
            </w:r>
          </w:p>
        </w:tc>
        <w:tc>
          <w:tcPr>
            <w:tcW w:w="16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话务系统正常运行效率</w:t>
            </w:r>
          </w:p>
        </w:tc>
        <w:tc>
          <w:tcPr>
            <w:tcW w:w="12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故障修复响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应时效</w:t>
            </w:r>
          </w:p>
        </w:tc>
        <w:tc>
          <w:tcPr>
            <w:tcW w:w="16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话务系统发生故障修复最长时间</w:t>
            </w:r>
          </w:p>
        </w:tc>
        <w:tc>
          <w:tcPr>
            <w:tcW w:w="12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≤5小时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项目建设成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6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本项目资金投入</w:t>
            </w:r>
          </w:p>
        </w:tc>
        <w:tc>
          <w:tcPr>
            <w:tcW w:w="12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工作效率</w:t>
            </w:r>
          </w:p>
        </w:tc>
        <w:tc>
          <w:tcPr>
            <w:tcW w:w="16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话务员工作效率</w:t>
            </w:r>
          </w:p>
        </w:tc>
        <w:tc>
          <w:tcPr>
            <w:tcW w:w="12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意度指标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使用方满意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</w:t>
            </w:r>
          </w:p>
        </w:tc>
        <w:tc>
          <w:tcPr>
            <w:tcW w:w="16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项目主管单位满意度</w:t>
            </w:r>
          </w:p>
        </w:tc>
        <w:tc>
          <w:tcPr>
            <w:tcW w:w="12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≥98%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tbl>
      <w:tblPr>
        <w:tblStyle w:val="7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252"/>
        <w:gridCol w:w="1457"/>
        <w:gridCol w:w="1667"/>
        <w:gridCol w:w="1474"/>
        <w:gridCol w:w="1292"/>
        <w:gridCol w:w="11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3.天津12345热线质量控制和督办体系建设项目绩效目标表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单位：天津市便民专线服务中心                                                      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36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天津12345热线质量控制和督办体系建设项目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预算规模及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资金用途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50.00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其中：财政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50.00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提升诉求解决效率，优化资源配置，切实提升天津12345政务服务便民热线质效。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436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1.提升诉求解决效率，优化资源配置，切实提升天津12345政务服务便民热线质效。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6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绩效指标描述</w:t>
            </w:r>
          </w:p>
        </w:tc>
        <w:tc>
          <w:tcPr>
            <w:tcW w:w="12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数据分析报告</w:t>
            </w:r>
          </w:p>
        </w:tc>
        <w:tc>
          <w:tcPr>
            <w:tcW w:w="16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出具受理情况报告</w:t>
            </w:r>
          </w:p>
        </w:tc>
        <w:tc>
          <w:tcPr>
            <w:tcW w:w="12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自动报告工具</w:t>
            </w:r>
          </w:p>
        </w:tc>
        <w:tc>
          <w:tcPr>
            <w:tcW w:w="16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热线自动报告工具</w:t>
            </w:r>
          </w:p>
        </w:tc>
        <w:tc>
          <w:tcPr>
            <w:tcW w:w="12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766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热线高频诉求事项分类目录</w:t>
            </w:r>
          </w:p>
        </w:tc>
        <w:tc>
          <w:tcPr>
            <w:tcW w:w="16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对12345热线的高频诉求事项进行梳理分类</w:t>
            </w:r>
          </w:p>
        </w:tc>
        <w:tc>
          <w:tcPr>
            <w:tcW w:w="12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项目最终完成时限</w:t>
            </w:r>
          </w:p>
        </w:tc>
        <w:tc>
          <w:tcPr>
            <w:tcW w:w="16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整体项目最终完成时限</w:t>
            </w:r>
          </w:p>
        </w:tc>
        <w:tc>
          <w:tcPr>
            <w:tcW w:w="12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2025年12月31日前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质量控制和督办体系建设项目服务费用</w:t>
            </w:r>
          </w:p>
        </w:tc>
        <w:tc>
          <w:tcPr>
            <w:tcW w:w="16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质量控制和督办体系建设项目整体服务费用</w:t>
            </w:r>
          </w:p>
        </w:tc>
        <w:tc>
          <w:tcPr>
            <w:tcW w:w="12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≤50万元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提升12345热线服务质效</w:t>
            </w:r>
          </w:p>
        </w:tc>
        <w:tc>
          <w:tcPr>
            <w:tcW w:w="16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提升12345热线为民服务能力、辅助科学决策能力、辅助城市治理能力</w:t>
            </w:r>
          </w:p>
        </w:tc>
        <w:tc>
          <w:tcPr>
            <w:tcW w:w="12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意度指标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企业群众满意率</w:t>
            </w:r>
          </w:p>
        </w:tc>
        <w:tc>
          <w:tcPr>
            <w:tcW w:w="16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企业群众对热线满意率</w:t>
            </w:r>
          </w:p>
        </w:tc>
        <w:tc>
          <w:tcPr>
            <w:tcW w:w="12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≥93%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282"/>
        <w:gridCol w:w="1975"/>
        <w:gridCol w:w="1508"/>
        <w:gridCol w:w="1350"/>
        <w:gridCol w:w="1072"/>
        <w:gridCol w:w="1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4.天津12345政务服务便民热线平台智能化扩容升级项目-2024一般债绩效目标表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单位：天津市便民专线服务中心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0" w:hRule="atLeast"/>
        </w:trPr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lang w:val="en-US" w:eastAsia="zh-CN" w:bidi="ar"/>
              </w:rPr>
              <w:t>项目名称</w:t>
            </w:r>
          </w:p>
        </w:tc>
        <w:tc>
          <w:tcPr>
            <w:tcW w:w="433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天津12345政务服务便民热线平台智能化扩容升级项目-2024一般债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lang w:val="en-US" w:eastAsia="zh-CN" w:bidi="ar"/>
              </w:rPr>
            </w:pPr>
            <w:r>
              <w:rPr>
                <w:rStyle w:val="22"/>
                <w:lang w:val="en-US" w:eastAsia="zh-CN" w:bidi="ar"/>
              </w:rPr>
              <w:t>预算规模及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lang w:val="en-US" w:eastAsia="zh-CN" w:bidi="ar"/>
              </w:rPr>
              <w:t>资金用途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lang w:val="en-US" w:eastAsia="zh-CN" w:bidi="ar"/>
              </w:rPr>
              <w:t>预算数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139.20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lang w:val="en-US" w:eastAsia="zh-CN" w:bidi="ar"/>
              </w:rPr>
            </w:pPr>
            <w:r>
              <w:rPr>
                <w:rStyle w:val="22"/>
                <w:lang w:val="en-US" w:eastAsia="zh-CN" w:bidi="ar"/>
              </w:rPr>
              <w:t>其中：财政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lang w:val="en-US" w:eastAsia="zh-CN" w:bidi="ar"/>
              </w:rPr>
              <w:t>资金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139.20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lang w:val="en-US" w:eastAsia="zh-CN" w:bidi="ar"/>
              </w:rPr>
              <w:t>其他资金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3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推进12345政务服务便民热线平台智能化功能扩容升级，构建12345热线大数据分析平台。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lang w:val="en-US" w:eastAsia="zh-CN" w:bidi="ar"/>
              </w:rPr>
              <w:t>绩效目标</w:t>
            </w:r>
          </w:p>
        </w:tc>
        <w:tc>
          <w:tcPr>
            <w:tcW w:w="433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1.推进12345政务服务便民热线平台智能化功能扩容升级，构建12345热线大数据分析平台。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0" w:hRule="atLeast"/>
        </w:trPr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lang w:val="en-US" w:eastAsia="zh-CN" w:bidi="ar"/>
              </w:rPr>
              <w:t>一级指标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lang w:val="en-US" w:eastAsia="zh-CN" w:bidi="ar"/>
              </w:rPr>
              <w:t>二级指标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lang w:val="en-US" w:eastAsia="zh-CN" w:bidi="ar"/>
              </w:rPr>
              <w:t>三级指标</w:t>
            </w: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lang w:val="en-US" w:eastAsia="zh-CN" w:bidi="ar"/>
              </w:rPr>
              <w:t>绩效指标描述</w:t>
            </w:r>
          </w:p>
        </w:tc>
        <w:tc>
          <w:tcPr>
            <w:tcW w:w="11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涉及升级和新建的系数量</w:t>
            </w: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系统开发数量</w:t>
            </w:r>
          </w:p>
        </w:tc>
        <w:tc>
          <w:tcPr>
            <w:tcW w:w="11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项目成本</w:t>
            </w: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项目成本</w:t>
            </w:r>
          </w:p>
        </w:tc>
        <w:tc>
          <w:tcPr>
            <w:tcW w:w="11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≤139.2万元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pct"/>
            <w:tcBorders>
              <w:top w:val="single" w:color="B0C4DE" w:sz="4" w:space="0"/>
              <w:left w:val="single" w:color="B0C4DE" w:sz="4" w:space="0"/>
              <w:bottom w:val="single" w:color="B0C4D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智能回访机器人回访平均通话时间</w:t>
            </w: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智能回访</w:t>
            </w:r>
          </w:p>
        </w:tc>
        <w:tc>
          <w:tcPr>
            <w:tcW w:w="11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0" w:hRule="atLeast"/>
        </w:trPr>
        <w:tc>
          <w:tcPr>
            <w:tcW w:w="6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数据训练输出报告准确度</w:t>
            </w: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数据大模型</w:t>
            </w:r>
          </w:p>
        </w:tc>
        <w:tc>
          <w:tcPr>
            <w:tcW w:w="11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12345热线数据用户使用满意度</w:t>
            </w: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规范业务质量</w:t>
            </w:r>
          </w:p>
        </w:tc>
        <w:tc>
          <w:tcPr>
            <w:tcW w:w="11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意度指标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系统使用人员满意度</w:t>
            </w: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系统使用人员满意度</w:t>
            </w:r>
          </w:p>
        </w:tc>
        <w:tc>
          <w:tcPr>
            <w:tcW w:w="11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≥98%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68"/>
        <w:gridCol w:w="1508"/>
        <w:gridCol w:w="1685"/>
        <w:gridCol w:w="1533"/>
        <w:gridCol w:w="1044"/>
        <w:gridCol w:w="1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5.天津12345政务服务便民热线平台智能化升级和与110报警服务平台对接项目-2024一般债绩效目标表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单位：天津市便民专线服务中心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37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天津12345政务服务便民热线平台智能化升级和与110报警服务平台对接项目-2024一般债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预算规模及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资金用途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0.21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其中：财政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推进天津12345政务服务便民热线与110报警服务平台高效对接联动，同步提升12345政务服务便民平台智能化能力。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437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1.推进天津12345政务服务便民热线与110报警服务平台高效对接联动，同步提升12345政务服务便民平台智能化能力。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6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绩效指标描述</w:t>
            </w:r>
          </w:p>
        </w:tc>
        <w:tc>
          <w:tcPr>
            <w:tcW w:w="12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软件系统开发数</w:t>
            </w:r>
          </w:p>
        </w:tc>
        <w:tc>
          <w:tcPr>
            <w:tcW w:w="16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热线平台系统软件开发的数量</w:t>
            </w:r>
          </w:p>
        </w:tc>
        <w:tc>
          <w:tcPr>
            <w:tcW w:w="12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软件升级完成率</w:t>
            </w:r>
          </w:p>
        </w:tc>
        <w:tc>
          <w:tcPr>
            <w:tcW w:w="16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热线平台软件升级的完成程度</w:t>
            </w:r>
          </w:p>
        </w:tc>
        <w:tc>
          <w:tcPr>
            <w:tcW w:w="12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语音转写准确度</w:t>
            </w:r>
          </w:p>
        </w:tc>
        <w:tc>
          <w:tcPr>
            <w:tcW w:w="16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热线平台坐席助手语音转写的准确程度</w:t>
            </w:r>
          </w:p>
        </w:tc>
        <w:tc>
          <w:tcPr>
            <w:tcW w:w="12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系统故障修复处理时间</w:t>
            </w:r>
          </w:p>
        </w:tc>
        <w:tc>
          <w:tcPr>
            <w:tcW w:w="16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热线平台系统故障修复处理时间</w:t>
            </w:r>
          </w:p>
        </w:tc>
        <w:tc>
          <w:tcPr>
            <w:tcW w:w="12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≤0.5</w:t>
            </w:r>
            <w:r>
              <w:rPr>
                <w:rStyle w:val="23"/>
                <w:lang w:val="en-US" w:eastAsia="zh-CN" w:bidi="ar"/>
              </w:rPr>
              <w:t>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软件开发成本二期款</w:t>
            </w:r>
          </w:p>
        </w:tc>
        <w:tc>
          <w:tcPr>
            <w:tcW w:w="16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热线平台软件开发二期使用资金情况</w:t>
            </w:r>
          </w:p>
        </w:tc>
        <w:tc>
          <w:tcPr>
            <w:tcW w:w="12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≤0.21万元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转接处置非警务类诉求成功率</w:t>
            </w:r>
          </w:p>
        </w:tc>
        <w:tc>
          <w:tcPr>
            <w:tcW w:w="16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热线平台转接与处置非警务类群众诉求的成功比率</w:t>
            </w:r>
          </w:p>
        </w:tc>
        <w:tc>
          <w:tcPr>
            <w:tcW w:w="12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意度指标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企业群众满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意率</w:t>
            </w:r>
          </w:p>
        </w:tc>
        <w:tc>
          <w:tcPr>
            <w:tcW w:w="16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企业群众对热线平台服务的满意程度</w:t>
            </w:r>
          </w:p>
        </w:tc>
        <w:tc>
          <w:tcPr>
            <w:tcW w:w="12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≥98%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249"/>
        <w:gridCol w:w="1616"/>
        <w:gridCol w:w="1255"/>
        <w:gridCol w:w="1580"/>
        <w:gridCol w:w="1200"/>
        <w:gridCol w:w="12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6.天津市便民专线服务中心一般债券利息-2025年债券利息绩效目标表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单位：天津市便民专线服务中心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7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天津市便民专线服务中心一般债券利息-2025年债券利息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预算规模及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资金用途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7.26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其中：财政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7.26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通过按时完成债券付息，保障投资者权益。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427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1.通过按时完成债券付息，保障投资者权益。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绩效指标描述</w:t>
            </w:r>
          </w:p>
        </w:tc>
        <w:tc>
          <w:tcPr>
            <w:tcW w:w="12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偿还债务项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</w:p>
        </w:tc>
        <w:tc>
          <w:tcPr>
            <w:tcW w:w="14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偿还债务项目</w:t>
            </w:r>
          </w:p>
        </w:tc>
        <w:tc>
          <w:tcPr>
            <w:tcW w:w="12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债券利息发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放率</w:t>
            </w:r>
          </w:p>
        </w:tc>
        <w:tc>
          <w:tcPr>
            <w:tcW w:w="14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债券利息发放率</w:t>
            </w:r>
          </w:p>
        </w:tc>
        <w:tc>
          <w:tcPr>
            <w:tcW w:w="12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偿还债券利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息及时性</w:t>
            </w:r>
          </w:p>
        </w:tc>
        <w:tc>
          <w:tcPr>
            <w:tcW w:w="14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偿还债券利息及时性</w:t>
            </w:r>
          </w:p>
        </w:tc>
        <w:tc>
          <w:tcPr>
            <w:tcW w:w="12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按时偿还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偿还债券利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息金额</w:t>
            </w:r>
          </w:p>
        </w:tc>
        <w:tc>
          <w:tcPr>
            <w:tcW w:w="14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偿还债券利息金额</w:t>
            </w:r>
          </w:p>
        </w:tc>
        <w:tc>
          <w:tcPr>
            <w:tcW w:w="12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保障债券受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益人权益</w:t>
            </w:r>
          </w:p>
        </w:tc>
        <w:tc>
          <w:tcPr>
            <w:tcW w:w="14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保障债券受益人权益</w:t>
            </w:r>
          </w:p>
        </w:tc>
        <w:tc>
          <w:tcPr>
            <w:tcW w:w="12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意度指标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公众对偿还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债券利息投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诉次数</w:t>
            </w:r>
          </w:p>
        </w:tc>
        <w:tc>
          <w:tcPr>
            <w:tcW w:w="14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公众对偿还债券利息投诉次数</w:t>
            </w:r>
          </w:p>
        </w:tc>
        <w:tc>
          <w:tcPr>
            <w:tcW w:w="12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0次</w:t>
            </w:r>
          </w:p>
        </w:tc>
      </w:tr>
    </w:tbl>
    <w:p/>
    <w:p>
      <w:pPr>
        <w:pStyle w:val="5"/>
        <w:keepNext w:val="0"/>
        <w:keepLines w:val="0"/>
        <w:pageBreakBefore w:val="0"/>
        <w:widowControl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</w:pPr>
    </w:p>
    <w:p>
      <w:pPr>
        <w:pStyle w:val="5"/>
        <w:keepNext w:val="0"/>
        <w:keepLines w:val="0"/>
        <w:pageBreakBefore w:val="0"/>
        <w:widowControl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</w:pPr>
      <w:r>
        <w:fldChar w:fldCharType="begin"/>
      </w:r>
      <w:r>
        <w:instrText xml:space="preserve"> HYPERLINK \l "_Toc126829027" </w:instrText>
      </w:r>
      <w:r>
        <w:fldChar w:fldCharType="separate"/>
      </w:r>
      <w:r>
        <w:rPr>
          <w:rStyle w:val="10"/>
          <w:rFonts w:eastAsia="仿宋_GB2312"/>
          <w:sz w:val="30"/>
          <w:szCs w:val="30"/>
        </w:rPr>
        <w:fldChar w:fldCharType="end"/>
      </w:r>
      <w:r>
        <w:rPr>
          <w:rFonts w:eastAsia="仿宋_GB2312"/>
          <w:color w:val="000000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0" w:firstLineChars="0"/>
        <w:jc w:val="left"/>
        <w:textAlignment w:val="auto"/>
        <w:rPr>
          <w:rFonts w:hint="eastAsia" w:eastAsia="宋体"/>
          <w:lang w:val="en-US" w:eastAsia="zh-CN"/>
        </w:rPr>
      </w:pPr>
    </w:p>
    <w:sectPr>
      <w:footerReference r:id="rId4" w:type="default"/>
      <w:footerReference r:id="rId5" w:type="even"/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tabs>
        <w:tab w:val="left" w:pos="8484"/>
        <w:tab w:val="left" w:pos="10200"/>
        <w:tab w:val="left" w:pos="10625"/>
        <w:tab w:val="left" w:pos="11050"/>
        <w:tab w:val="left" w:pos="11475"/>
        <w:tab w:val="left" w:pos="11900"/>
        <w:tab w:val="left" w:pos="12325"/>
        <w:tab w:val="left" w:pos="12750"/>
        <w:tab w:val="left" w:pos="13175"/>
      </w:tabs>
      <w:ind w:right="360" w:firstLine="360"/>
      <w:rPr>
        <w:rStyle w:val="27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NotTrackMoves/>
  <w:revisionView w:markup="0"/>
  <w:trackRevisions w:val="true"/>
  <w:documentProtection w:enforcement="0"/>
  <w:defaultTabStop w:val="720"/>
  <w:evenAndOddHeaders w:val="true"/>
  <w:displayHorizontalDrawingGridEvery w:val="1"/>
  <w:displayVerticalDrawingGridEvery w:val="1"/>
  <w:noPunctuationKerning w:val="true"/>
  <w:characterSpacingControl w:val="doNotCompress"/>
  <w:compat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YjZlZmY4NDJjOGU0Y2E4M2I1MTUwNjI1ZjA1ODIifQ=="/>
  </w:docVars>
  <w:rsids>
    <w:rsidRoot w:val="00172A27"/>
    <w:rsid w:val="00356B5E"/>
    <w:rsid w:val="008759F0"/>
    <w:rsid w:val="008B2649"/>
    <w:rsid w:val="0093145B"/>
    <w:rsid w:val="00B10DB4"/>
    <w:rsid w:val="00BD1BB7"/>
    <w:rsid w:val="00DE6C6B"/>
    <w:rsid w:val="066F5090"/>
    <w:rsid w:val="15F80BFE"/>
    <w:rsid w:val="18AF5EEB"/>
    <w:rsid w:val="1AAC0209"/>
    <w:rsid w:val="1ABC6C11"/>
    <w:rsid w:val="1C4B6E5A"/>
    <w:rsid w:val="22925F36"/>
    <w:rsid w:val="25B74631"/>
    <w:rsid w:val="274E2D73"/>
    <w:rsid w:val="2838132E"/>
    <w:rsid w:val="2C9C00DD"/>
    <w:rsid w:val="3125427A"/>
    <w:rsid w:val="36C941C4"/>
    <w:rsid w:val="39671A73"/>
    <w:rsid w:val="3F22F452"/>
    <w:rsid w:val="3F7E18C4"/>
    <w:rsid w:val="408465EB"/>
    <w:rsid w:val="40A806BA"/>
    <w:rsid w:val="44AF469C"/>
    <w:rsid w:val="47F70466"/>
    <w:rsid w:val="48030BB8"/>
    <w:rsid w:val="48D34A2F"/>
    <w:rsid w:val="4A6E2C61"/>
    <w:rsid w:val="4D4128AF"/>
    <w:rsid w:val="4F336227"/>
    <w:rsid w:val="4FFB11C5"/>
    <w:rsid w:val="554F368F"/>
    <w:rsid w:val="577949F3"/>
    <w:rsid w:val="5C2C297C"/>
    <w:rsid w:val="6129748A"/>
    <w:rsid w:val="659D21F5"/>
    <w:rsid w:val="66214BD4"/>
    <w:rsid w:val="6AA00420"/>
    <w:rsid w:val="6B43383E"/>
    <w:rsid w:val="6BBF2306"/>
    <w:rsid w:val="73B02BD1"/>
    <w:rsid w:val="75183646"/>
    <w:rsid w:val="77BD8AF3"/>
    <w:rsid w:val="DFFEB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5">
    <w:name w:val="toc 4"/>
    <w:basedOn w:val="1"/>
    <w:next w:val="1"/>
    <w:qFormat/>
    <w:uiPriority w:val="39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2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3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4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7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character" w:customStyle="1" w:styleId="19">
    <w:name w:val="font71"/>
    <w:basedOn w:val="9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20">
    <w:name w:val="font9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21"/>
    <w:basedOn w:val="9"/>
    <w:qFormat/>
    <w:uiPriority w:val="0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22">
    <w:name w:val="font112"/>
    <w:basedOn w:val="9"/>
    <w:qFormat/>
    <w:uiPriority w:val="0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1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页脚1"/>
    <w:basedOn w:val="25"/>
    <w:qFormat/>
    <w:uiPriority w:val="0"/>
    <w:pPr>
      <w:tabs>
        <w:tab w:val="center" w:pos="4153"/>
        <w:tab w:val="right" w:pos="8306"/>
      </w:tabs>
      <w:spacing w:line="240" w:lineRule="atLeast"/>
    </w:pPr>
    <w:rPr>
      <w:sz w:val="18"/>
    </w:rPr>
  </w:style>
  <w:style w:type="paragraph" w:customStyle="1" w:styleId="25">
    <w:name w:val="正文3"/>
    <w:basedOn w:val="26"/>
    <w:qFormat/>
    <w:uiPriority w:val="0"/>
    <w:pPr>
      <w:widowControl/>
      <w:spacing w:line="360" w:lineRule="atLeast"/>
    </w:pPr>
    <w:rPr>
      <w:rFonts w:ascii="Times New Roman" w:hAnsi="Times New Roman" w:eastAsia="Times New Roman"/>
    </w:rPr>
  </w:style>
  <w:style w:type="paragraph" w:customStyle="1" w:styleId="26">
    <w:name w:val="[Normal]"/>
    <w:qFormat/>
    <w:uiPriority w:val="0"/>
    <w:rPr>
      <w:rFonts w:ascii="宋体" w:hAnsi="宋体" w:eastAsia="宋体" w:cs="Times New Roman"/>
      <w:sz w:val="24"/>
      <w:lang w:val="zh-CN" w:eastAsia="zh-CN" w:bidi="ar-SA"/>
    </w:rPr>
  </w:style>
  <w:style w:type="character" w:customStyle="1" w:styleId="27">
    <w:name w:val="页码1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812</Words>
  <Characters>4635</Characters>
  <Lines>38</Lines>
  <Paragraphs>10</Paragraphs>
  <TotalTime>8</TotalTime>
  <ScaleCrop>false</ScaleCrop>
  <LinksUpToDate>false</LinksUpToDate>
  <CharactersWithSpaces>5437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2023-02-09T17:13:00Z</dcterms:created>
  <dc:creator>kylin</dc:creator>
  <cp:lastModifiedBy>kylin</cp:lastModifiedBy>
  <cp:lastPrinted>2025-02-11T08:58:00Z</cp:lastPrinted>
  <dcterms:modified xsi:type="dcterms:W3CDTF">2025-03-03T11:32:48Z</dcterms:modified>
  <dc:title>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F8FBEDF8F72C4682B44E488E276A3B40_13</vt:lpwstr>
  </property>
</Properties>
</file>